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A2102" w14:textId="77777777" w:rsidR="00197B23" w:rsidRPr="00751157" w:rsidRDefault="0083458F" w:rsidP="00751157">
      <w:pPr>
        <w:pStyle w:val="Rubrik1"/>
      </w:pPr>
      <w:r w:rsidRPr="00751157">
        <w:rPr>
          <w:noProof/>
        </w:rPr>
        <w:drawing>
          <wp:anchor distT="0" distB="0" distL="114300" distR="114300" simplePos="0" relativeHeight="251658240" behindDoc="0" locked="0" layoutInCell="1" allowOverlap="1" wp14:anchorId="58D79D06" wp14:editId="62AFD1C9">
            <wp:simplePos x="0" y="0"/>
            <wp:positionH relativeFrom="page">
              <wp:posOffset>716280</wp:posOffset>
            </wp:positionH>
            <wp:positionV relativeFrom="page">
              <wp:posOffset>403860</wp:posOffset>
            </wp:positionV>
            <wp:extent cx="1076325" cy="914400"/>
            <wp:effectExtent l="0" t="0" r="9525" b="0"/>
            <wp:wrapNone/>
            <wp:docPr id="1" name="Bild 1" descr="Jordbruksverket logotyp."/>
            <wp:cNvGraphicFramePr/>
            <a:graphic xmlns:a="http://schemas.openxmlformats.org/drawingml/2006/main">
              <a:graphicData uri="http://schemas.openxmlformats.org/drawingml/2006/picture">
                <pic:pic xmlns:pic="http://schemas.openxmlformats.org/drawingml/2006/picture">
                  <pic:nvPicPr>
                    <pic:cNvPr id="1" name="Bild 1" descr="Jordbruksverket logotyp."/>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914400"/>
                    </a:xfrm>
                    <a:prstGeom prst="rect">
                      <a:avLst/>
                    </a:prstGeom>
                    <a:noFill/>
                    <a:ln>
                      <a:noFill/>
                    </a:ln>
                  </pic:spPr>
                </pic:pic>
              </a:graphicData>
            </a:graphic>
            <wp14:sizeRelH relativeFrom="margin">
              <wp14:pctWidth>0</wp14:pctWidth>
            </wp14:sizeRelH>
          </wp:anchor>
        </w:drawing>
      </w:r>
      <w:bookmarkStart w:id="0" w:name="_Hlk181882301"/>
      <w:r w:rsidR="00197B23" w:rsidRPr="00751157">
        <w:t>Särskild konsekvensanalys - administrativa bördor för företagen</w:t>
      </w:r>
      <w:bookmarkEnd w:id="0"/>
    </w:p>
    <w:p w14:paraId="2E4117E1" w14:textId="77777777" w:rsidR="00197B23" w:rsidRPr="006676DC" w:rsidRDefault="00E04591" w:rsidP="006676DC">
      <w:r w:rsidRPr="00751157">
        <w:rPr>
          <w:noProof/>
        </w:rPr>
        <mc:AlternateContent>
          <mc:Choice Requires="wps">
            <w:drawing>
              <wp:anchor distT="0" distB="0" distL="114300" distR="114300" simplePos="0" relativeHeight="251659264" behindDoc="0" locked="0" layoutInCell="1" allowOverlap="1" wp14:anchorId="0E0FFE5D" wp14:editId="169DF04F">
                <wp:simplePos x="0" y="0"/>
                <wp:positionH relativeFrom="column">
                  <wp:posOffset>5000625</wp:posOffset>
                </wp:positionH>
                <wp:positionV relativeFrom="paragraph">
                  <wp:posOffset>-1471295</wp:posOffset>
                </wp:positionV>
                <wp:extent cx="3970020" cy="868680"/>
                <wp:effectExtent l="0" t="0" r="11430" b="26670"/>
                <wp:wrapNone/>
                <wp:docPr id="3" name="Textruta 3" descr="Dekorativ ruta med instruktionstext."/>
                <wp:cNvGraphicFramePr/>
                <a:graphic xmlns:a="http://schemas.openxmlformats.org/drawingml/2006/main">
                  <a:graphicData uri="http://schemas.microsoft.com/office/word/2010/wordprocessingShape">
                    <wps:wsp>
                      <wps:cNvSpPr txBox="1"/>
                      <wps:spPr>
                        <a:xfrm>
                          <a:off x="0" y="0"/>
                          <a:ext cx="3970020" cy="868680"/>
                        </a:xfrm>
                        <a:prstGeom prst="rect">
                          <a:avLst/>
                        </a:prstGeom>
                        <a:solidFill>
                          <a:schemeClr val="lt1"/>
                        </a:solidFill>
                        <a:ln w="6350">
                          <a:solidFill>
                            <a:prstClr val="black"/>
                          </a:solidFill>
                        </a:ln>
                      </wps:spPr>
                      <wps:txbx>
                        <w:txbxContent>
                          <w:p w14:paraId="3E6C0220" w14:textId="77777777" w:rsidR="007D04F1" w:rsidRDefault="007D04F1" w:rsidP="007D04F1">
                            <w:pPr>
                              <w:pStyle w:val="Infotext"/>
                            </w:pPr>
                            <w:r w:rsidRPr="007D04F1">
                              <w:t>I tabellen</w:t>
                            </w:r>
                            <w:r>
                              <w:t xml:space="preserve"> nedan</w:t>
                            </w:r>
                            <w:r w:rsidRPr="007D04F1">
                              <w:t xml:space="preserve"> ska du ange de nya eller ändrade paragrafer i föreskriften/allmänna rådet som innehåller administrativa bördor för företagen och göra en bedömning av den samlade kostnaden för respektive börda. Endast en börda ska anges per rad. Du ska bifoga den ifyllda tabellen till konsekvensutredningen.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CDC1F7" id="_x0000_t202" coordsize="21600,21600" o:spt="202" path="m,l,21600r21600,l21600,xe">
                <v:stroke joinstyle="miter"/>
                <v:path gradientshapeok="t" o:connecttype="rect"/>
              </v:shapetype>
              <v:shape id="Textruta 3" o:spid="_x0000_s1026" type="#_x0000_t202" alt="Dekorativ ruta med instruktionstext." style="position:absolute;margin-left:393.75pt;margin-top:-115.85pt;width:312.6pt;height:6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" fillcolor="white [3201]" strokeweight=".5pt">
                <v:textbox>
                  <w:txbxContent>
                    <w:p w:rsidR="007D04F1" w:rsidRDefault="007D04F1" w:rsidP="007D04F1">
                      <w:pPr>
                        <w:pStyle w:val="Infotext"/>
                      </w:pPr>
                      <w:r w:rsidRPr="007D04F1">
                        <w:t>I tabellen</w:t>
                      </w:r>
                      <w:r>
                        <w:t xml:space="preserve"> nedan</w:t>
                      </w:r>
                      <w:r w:rsidRPr="007D04F1">
                        <w:t xml:space="preserve"> ska du ange de nya eller ändrade paragrafer i föreskriften/allmänna rådet som innehåller administrativa bördor för företagen och göra en bedömning av den samlade kostnaden för respektive börda. Endast en börda ska anges per rad. Du ska bifoga den ifyllda tabellen till konsekvensutredningen.</w:t>
                      </w:r>
                    </w:p>
                  </w:txbxContent>
                </v:textbox>
              </v:shape>
            </w:pict>
          </mc:Fallback>
        </mc:AlternateContent>
      </w:r>
      <w:r w:rsidR="00197B23" w:rsidRPr="006676DC">
        <w:rPr>
          <w:b/>
          <w:bCs/>
        </w:rPr>
        <w:t>Föreskriftens namn</w:t>
      </w:r>
      <w:r w:rsidR="00197B23" w:rsidRPr="006676DC">
        <w:t>:</w:t>
      </w:r>
      <w:r w:rsidR="006676DC">
        <w:t xml:space="preserve"> </w:t>
      </w:r>
      <w:r w:rsidR="003958C2" w:rsidRPr="003958C2">
        <w:t xml:space="preserve">Statens jordbruksverks föreskrifter </w:t>
      </w:r>
      <w:r w:rsidR="003958C2">
        <w:t xml:space="preserve">(SJVFS </w:t>
      </w:r>
      <w:proofErr w:type="gramStart"/>
      <w:r w:rsidR="003958C2">
        <w:t>2024:XX</w:t>
      </w:r>
      <w:proofErr w:type="gramEnd"/>
      <w:r w:rsidR="003958C2">
        <w:t xml:space="preserve">) </w:t>
      </w:r>
      <w:r w:rsidR="003958C2" w:rsidRPr="003958C2">
        <w:t>om kvalitetskontroll av frukter och grönsaker</w:t>
      </w:r>
    </w:p>
    <w:tbl>
      <w:tblPr>
        <w:tblStyle w:val="SJVtabellenkel"/>
        <w:tblW w:w="5000" w:type="pct"/>
        <w:tblLayout w:type="fixed"/>
        <w:tblLook w:val="0620" w:firstRow="1" w:lastRow="0" w:firstColumn="0" w:lastColumn="0" w:noHBand="1" w:noVBand="1"/>
      </w:tblPr>
      <w:tblGrid>
        <w:gridCol w:w="1486"/>
        <w:gridCol w:w="1486"/>
        <w:gridCol w:w="2268"/>
        <w:gridCol w:w="2693"/>
        <w:gridCol w:w="1550"/>
        <w:gridCol w:w="1551"/>
        <w:gridCol w:w="1550"/>
        <w:gridCol w:w="1551"/>
      </w:tblGrid>
      <w:tr w:rsidR="00197B23" w:rsidRPr="00197B23" w14:paraId="0BEB5E5C" w14:textId="77777777" w:rsidTr="00E3057C">
        <w:trPr>
          <w:cnfStyle w:val="100000000000" w:firstRow="1" w:lastRow="0" w:firstColumn="0" w:lastColumn="0" w:oddVBand="0" w:evenVBand="0" w:oddHBand="0" w:evenHBand="0" w:firstRowFirstColumn="0" w:firstRowLastColumn="0" w:lastRowFirstColumn="0" w:lastRowLastColumn="0"/>
          <w:tblHeader/>
        </w:trPr>
        <w:tc>
          <w:tcPr>
            <w:tcW w:w="1486" w:type="dxa"/>
          </w:tcPr>
          <w:p w14:paraId="123DD787" w14:textId="77777777" w:rsidR="00197B23" w:rsidRPr="00197B23" w:rsidRDefault="00197B23" w:rsidP="00197B23">
            <w:r w:rsidRPr="00197B23">
              <w:t>Ange paragraf med ny eller ändrad administrativ börda</w:t>
            </w:r>
          </w:p>
        </w:tc>
        <w:tc>
          <w:tcPr>
            <w:tcW w:w="1486" w:type="dxa"/>
          </w:tcPr>
          <w:p w14:paraId="6981FFC7" w14:textId="77777777" w:rsidR="00197B23" w:rsidRPr="00197B23" w:rsidRDefault="00197B23" w:rsidP="00197B23">
            <w:r w:rsidRPr="00197B23">
              <w:t>Ange typ av administrativ börda</w:t>
            </w:r>
          </w:p>
        </w:tc>
        <w:tc>
          <w:tcPr>
            <w:tcW w:w="2268" w:type="dxa"/>
          </w:tcPr>
          <w:p w14:paraId="3B3E55CD" w14:textId="77777777" w:rsidR="00197B23" w:rsidRPr="00197B23" w:rsidRDefault="00197B23" w:rsidP="00197B23">
            <w:r w:rsidRPr="00197B23">
              <w:t>Ange den legala grunden för den administrativa bördan (ange författning, direktiv eller beslut samt tillämplig artikel/paragraf)</w:t>
            </w:r>
          </w:p>
        </w:tc>
        <w:tc>
          <w:tcPr>
            <w:tcW w:w="2693" w:type="dxa"/>
          </w:tcPr>
          <w:p w14:paraId="616E7183" w14:textId="77777777" w:rsidR="00197B23" w:rsidRPr="00197B23" w:rsidRDefault="00197B23" w:rsidP="00197B23">
            <w:r w:rsidRPr="00197B23">
              <w:t>1. Ange om den legala grunden för den administrativa bördan innehåller ett tolkningsutrymme som medger alternativa lösningar och om så är fallet på vilket sätt.</w:t>
            </w:r>
          </w:p>
          <w:p w14:paraId="650598D6" w14:textId="77777777" w:rsidR="00197B23" w:rsidRPr="00197B23" w:rsidRDefault="00197B23" w:rsidP="00197B23">
            <w:r w:rsidRPr="00197B23">
              <w:t>2. Ange också om den administrativa bördan går utöver vad den legala grunden kräver.</w:t>
            </w:r>
          </w:p>
        </w:tc>
        <w:tc>
          <w:tcPr>
            <w:tcW w:w="1550" w:type="dxa"/>
          </w:tcPr>
          <w:p w14:paraId="22C53950" w14:textId="77777777" w:rsidR="00197B23" w:rsidRPr="00197B23" w:rsidRDefault="00197B23" w:rsidP="00197B23">
            <w:r w:rsidRPr="00197B23">
              <w:t>Ange typ av företag som berörs av den administrativa bördan</w:t>
            </w:r>
          </w:p>
        </w:tc>
        <w:tc>
          <w:tcPr>
            <w:tcW w:w="1551" w:type="dxa"/>
          </w:tcPr>
          <w:p w14:paraId="0334774D" w14:textId="77777777" w:rsidR="00197B23" w:rsidRPr="00197B23" w:rsidRDefault="00197B23" w:rsidP="00197B23">
            <w:r w:rsidRPr="00197B23">
              <w:t>Ange bedömd tidsåtgång för den administrativa bördan per företag och år</w:t>
            </w:r>
          </w:p>
        </w:tc>
        <w:tc>
          <w:tcPr>
            <w:tcW w:w="1550" w:type="dxa"/>
          </w:tcPr>
          <w:p w14:paraId="0ED17228" w14:textId="77777777" w:rsidR="00197B23" w:rsidRPr="00197B23" w:rsidRDefault="00197B23" w:rsidP="00197B23">
            <w:r w:rsidRPr="00197B23">
              <w:t xml:space="preserve">Ange hur många företag som berörs av den administrativa bördan </w:t>
            </w:r>
          </w:p>
        </w:tc>
        <w:tc>
          <w:tcPr>
            <w:tcW w:w="1551" w:type="dxa"/>
          </w:tcPr>
          <w:p w14:paraId="14153051" w14:textId="77777777" w:rsidR="00197B23" w:rsidRPr="00197B23" w:rsidRDefault="00197B23" w:rsidP="00197B23">
            <w:r w:rsidRPr="00197B23">
              <w:t xml:space="preserve">Ange den samlade kostnaden för den administrativa bördan för företagen per år </w:t>
            </w:r>
          </w:p>
        </w:tc>
      </w:tr>
      <w:tr w:rsidR="00197B23" w:rsidRPr="00197B23" w14:paraId="32031C46" w14:textId="77777777" w:rsidTr="00E3057C">
        <w:tc>
          <w:tcPr>
            <w:tcW w:w="1486" w:type="dxa"/>
          </w:tcPr>
          <w:p w14:paraId="5F8F951C" w14:textId="77777777" w:rsidR="00197B23" w:rsidRPr="00197B23" w:rsidRDefault="00B922CB" w:rsidP="00197B23">
            <w:r>
              <w:t>1§</w:t>
            </w:r>
          </w:p>
        </w:tc>
        <w:tc>
          <w:tcPr>
            <w:tcW w:w="1486" w:type="dxa"/>
          </w:tcPr>
          <w:p w14:paraId="22583B06" w14:textId="77777777" w:rsidR="00197B23" w:rsidRPr="00197B23" w:rsidRDefault="00B922CB" w:rsidP="00197B23">
            <w:r>
              <w:t>Ingen administrativ börda</w:t>
            </w:r>
          </w:p>
        </w:tc>
        <w:tc>
          <w:tcPr>
            <w:tcW w:w="2268" w:type="dxa"/>
          </w:tcPr>
          <w:p w14:paraId="2DDD2594" w14:textId="77777777" w:rsidR="00197B23" w:rsidRPr="00197B23" w:rsidRDefault="00197B23" w:rsidP="00197B23"/>
        </w:tc>
        <w:tc>
          <w:tcPr>
            <w:tcW w:w="2693" w:type="dxa"/>
          </w:tcPr>
          <w:p w14:paraId="17F774C9" w14:textId="77777777" w:rsidR="00197B23" w:rsidRPr="00197B23" w:rsidRDefault="00197B23" w:rsidP="00197B23"/>
        </w:tc>
        <w:tc>
          <w:tcPr>
            <w:tcW w:w="1550" w:type="dxa"/>
          </w:tcPr>
          <w:p w14:paraId="0B480A94" w14:textId="77777777" w:rsidR="00197B23" w:rsidRPr="00197B23" w:rsidRDefault="00A21CE8" w:rsidP="00197B23">
            <w:r w:rsidRPr="00A21CE8">
              <w:t>.</w:t>
            </w:r>
          </w:p>
        </w:tc>
        <w:tc>
          <w:tcPr>
            <w:tcW w:w="1551" w:type="dxa"/>
          </w:tcPr>
          <w:p w14:paraId="65CA9526" w14:textId="77777777" w:rsidR="00197B23" w:rsidRPr="00197B23" w:rsidRDefault="00197B23" w:rsidP="00197B23"/>
        </w:tc>
        <w:tc>
          <w:tcPr>
            <w:tcW w:w="1550" w:type="dxa"/>
          </w:tcPr>
          <w:p w14:paraId="27C8B44A" w14:textId="77777777" w:rsidR="00197B23" w:rsidRPr="00197B23" w:rsidRDefault="00197B23" w:rsidP="00197B23"/>
        </w:tc>
        <w:tc>
          <w:tcPr>
            <w:tcW w:w="1551" w:type="dxa"/>
          </w:tcPr>
          <w:p w14:paraId="59B93A6C" w14:textId="77777777" w:rsidR="00197B23" w:rsidRPr="00197B23" w:rsidRDefault="00197B23" w:rsidP="00197B23"/>
        </w:tc>
      </w:tr>
      <w:tr w:rsidR="00751157" w:rsidRPr="00197B23" w14:paraId="62839C8F" w14:textId="77777777" w:rsidTr="00E3057C">
        <w:tc>
          <w:tcPr>
            <w:tcW w:w="1486" w:type="dxa"/>
          </w:tcPr>
          <w:p w14:paraId="3C607781" w14:textId="77777777" w:rsidR="00751157" w:rsidRPr="00197B23" w:rsidRDefault="00B922CB" w:rsidP="00197B23">
            <w:r>
              <w:t>2§</w:t>
            </w:r>
          </w:p>
        </w:tc>
        <w:tc>
          <w:tcPr>
            <w:tcW w:w="1486" w:type="dxa"/>
          </w:tcPr>
          <w:p w14:paraId="5BD5740B" w14:textId="77777777" w:rsidR="00751157" w:rsidRPr="00197B23" w:rsidRDefault="00B922CB" w:rsidP="00197B23">
            <w:r>
              <w:t>Ingen administrativ börda</w:t>
            </w:r>
          </w:p>
        </w:tc>
        <w:tc>
          <w:tcPr>
            <w:tcW w:w="2268" w:type="dxa"/>
          </w:tcPr>
          <w:p w14:paraId="26D19E38" w14:textId="77777777" w:rsidR="00751157" w:rsidRPr="00197B23" w:rsidRDefault="00751157" w:rsidP="00197B23"/>
        </w:tc>
        <w:tc>
          <w:tcPr>
            <w:tcW w:w="2693" w:type="dxa"/>
          </w:tcPr>
          <w:p w14:paraId="52AF841D" w14:textId="77777777" w:rsidR="00751157" w:rsidRPr="00197B23" w:rsidRDefault="00751157" w:rsidP="00197B23"/>
        </w:tc>
        <w:tc>
          <w:tcPr>
            <w:tcW w:w="1550" w:type="dxa"/>
          </w:tcPr>
          <w:p w14:paraId="326C2819" w14:textId="77777777" w:rsidR="00751157" w:rsidRPr="00197B23" w:rsidRDefault="00751157" w:rsidP="00197B23"/>
        </w:tc>
        <w:tc>
          <w:tcPr>
            <w:tcW w:w="1551" w:type="dxa"/>
          </w:tcPr>
          <w:p w14:paraId="7A4B1F92" w14:textId="77777777" w:rsidR="00751157" w:rsidRPr="00197B23" w:rsidRDefault="00751157" w:rsidP="00197B23"/>
        </w:tc>
        <w:tc>
          <w:tcPr>
            <w:tcW w:w="1550" w:type="dxa"/>
          </w:tcPr>
          <w:p w14:paraId="2F0711BC" w14:textId="77777777" w:rsidR="00751157" w:rsidRPr="00197B23" w:rsidRDefault="00751157" w:rsidP="00197B23"/>
        </w:tc>
        <w:tc>
          <w:tcPr>
            <w:tcW w:w="1551" w:type="dxa"/>
          </w:tcPr>
          <w:p w14:paraId="3D403024" w14:textId="77777777" w:rsidR="00751157" w:rsidRPr="00197B23" w:rsidRDefault="00751157" w:rsidP="00197B23"/>
        </w:tc>
      </w:tr>
      <w:tr w:rsidR="00751157" w:rsidRPr="00197B23" w14:paraId="76AAD7DA" w14:textId="77777777" w:rsidTr="00E3057C">
        <w:tc>
          <w:tcPr>
            <w:tcW w:w="1486" w:type="dxa"/>
          </w:tcPr>
          <w:p w14:paraId="6E19FEBA" w14:textId="77777777" w:rsidR="00751157" w:rsidRPr="00197B23" w:rsidRDefault="00B922CB" w:rsidP="00197B23">
            <w:r>
              <w:t>3§</w:t>
            </w:r>
          </w:p>
        </w:tc>
        <w:tc>
          <w:tcPr>
            <w:tcW w:w="1486" w:type="dxa"/>
          </w:tcPr>
          <w:p w14:paraId="764E0B2C" w14:textId="77777777" w:rsidR="00751157" w:rsidRPr="00197B23" w:rsidRDefault="00B922CB" w:rsidP="00197B23">
            <w:r>
              <w:t>Ingen administrativ börda</w:t>
            </w:r>
          </w:p>
        </w:tc>
        <w:tc>
          <w:tcPr>
            <w:tcW w:w="2268" w:type="dxa"/>
          </w:tcPr>
          <w:p w14:paraId="2B0F7C84" w14:textId="77777777" w:rsidR="00751157" w:rsidRPr="00197B23" w:rsidRDefault="00751157" w:rsidP="00197B23"/>
        </w:tc>
        <w:tc>
          <w:tcPr>
            <w:tcW w:w="2693" w:type="dxa"/>
          </w:tcPr>
          <w:p w14:paraId="0C288C3A" w14:textId="77777777" w:rsidR="00751157" w:rsidRPr="00197B23" w:rsidRDefault="00751157" w:rsidP="00197B23"/>
        </w:tc>
        <w:tc>
          <w:tcPr>
            <w:tcW w:w="1550" w:type="dxa"/>
          </w:tcPr>
          <w:p w14:paraId="0A98505C" w14:textId="77777777" w:rsidR="00751157" w:rsidRPr="00197B23" w:rsidRDefault="00751157" w:rsidP="00197B23"/>
        </w:tc>
        <w:tc>
          <w:tcPr>
            <w:tcW w:w="1551" w:type="dxa"/>
          </w:tcPr>
          <w:p w14:paraId="104F913F" w14:textId="77777777" w:rsidR="00751157" w:rsidRPr="00197B23" w:rsidRDefault="00751157" w:rsidP="00197B23"/>
        </w:tc>
        <w:tc>
          <w:tcPr>
            <w:tcW w:w="1550" w:type="dxa"/>
          </w:tcPr>
          <w:p w14:paraId="5783DDB9" w14:textId="77777777" w:rsidR="00751157" w:rsidRPr="00197B23" w:rsidRDefault="00751157" w:rsidP="00197B23"/>
        </w:tc>
        <w:tc>
          <w:tcPr>
            <w:tcW w:w="1551" w:type="dxa"/>
          </w:tcPr>
          <w:p w14:paraId="78DDF91D" w14:textId="77777777" w:rsidR="00751157" w:rsidRPr="00197B23" w:rsidRDefault="00751157" w:rsidP="00197B23"/>
        </w:tc>
      </w:tr>
      <w:tr w:rsidR="00751157" w:rsidRPr="00197B23" w14:paraId="3FA374E1" w14:textId="77777777" w:rsidTr="00E3057C">
        <w:tc>
          <w:tcPr>
            <w:tcW w:w="1486" w:type="dxa"/>
          </w:tcPr>
          <w:p w14:paraId="1327AC07" w14:textId="77777777" w:rsidR="00751157" w:rsidRPr="00197B23" w:rsidRDefault="00B922CB" w:rsidP="00197B23">
            <w:r>
              <w:t>4§</w:t>
            </w:r>
          </w:p>
        </w:tc>
        <w:tc>
          <w:tcPr>
            <w:tcW w:w="1486" w:type="dxa"/>
          </w:tcPr>
          <w:p w14:paraId="73FF3652" w14:textId="77777777" w:rsidR="00751157" w:rsidRPr="00197B23" w:rsidRDefault="00B922CB" w:rsidP="00197B23">
            <w:r>
              <w:t>Anmälan av verksamheten (</w:t>
            </w:r>
            <w:r w:rsidR="00D72FA9">
              <w:t>görs en gång</w:t>
            </w:r>
            <w:r>
              <w:t>)</w:t>
            </w:r>
          </w:p>
        </w:tc>
        <w:tc>
          <w:tcPr>
            <w:tcW w:w="2268" w:type="dxa"/>
          </w:tcPr>
          <w:p w14:paraId="20D3E752" w14:textId="61944FDB" w:rsidR="00751157" w:rsidRPr="00197B23" w:rsidRDefault="00B922CB" w:rsidP="00197B23">
            <w:r>
              <w:t xml:space="preserve">Art 3 </w:t>
            </w:r>
            <w:r w:rsidR="00D72FA9">
              <w:t xml:space="preserve">i </w:t>
            </w:r>
            <w:r w:rsidRPr="00B922CB">
              <w:t>förordning (EU) 2023/24</w:t>
            </w:r>
            <w:r w:rsidR="00B050D3">
              <w:t>30</w:t>
            </w:r>
          </w:p>
        </w:tc>
        <w:tc>
          <w:tcPr>
            <w:tcW w:w="2693" w:type="dxa"/>
          </w:tcPr>
          <w:p w14:paraId="213F701C" w14:textId="15A4D358" w:rsidR="00E3057C" w:rsidRDefault="00E3057C" w:rsidP="00E3057C">
            <w:r>
              <w:t xml:space="preserve">1. Art 3.3 i förordning (EU) 2023/2430 ger möjlighet för medlemsstaterna att undanta vissa kategorier från kravet på registrering. Vi har hittills undantagit aktörer som enbart sysslar med varutransport och detaljhandel och föreslår att fortsätta så. </w:t>
            </w:r>
            <w:r w:rsidR="008D7A4A">
              <w:t>I och med de nya EU-förordningarna finns</w:t>
            </w:r>
            <w:r>
              <w:t xml:space="preserve"> möjlighet att </w:t>
            </w:r>
            <w:r w:rsidR="00B02005">
              <w:t xml:space="preserve">även </w:t>
            </w:r>
            <w:r>
              <w:t>undanta aktörer som hanterar de nya produkterna (torkad frukt mm), men vi bedömer att den registreringen behövs för att kunna utföra kontroller av dessa produkter.</w:t>
            </w:r>
          </w:p>
          <w:p w14:paraId="7C5DEE41" w14:textId="19BCA53C" w:rsidR="00751157" w:rsidRPr="00197B23" w:rsidRDefault="00E3057C" w:rsidP="00E3057C">
            <w:r>
              <w:t>2. Den administrativa bördan går inte utöver vad den legala grunden kräver på annat sätt än som nämns i punkt 1.</w:t>
            </w:r>
          </w:p>
        </w:tc>
        <w:tc>
          <w:tcPr>
            <w:tcW w:w="1550" w:type="dxa"/>
          </w:tcPr>
          <w:p w14:paraId="3A8A4008" w14:textId="77777777" w:rsidR="00751157" w:rsidRPr="00197B23" w:rsidRDefault="00F92989" w:rsidP="00197B23">
            <w:r>
              <w:t>Företag (utom detaljhandel och transportörer) som handlar med frukt och grönt</w:t>
            </w:r>
          </w:p>
        </w:tc>
        <w:tc>
          <w:tcPr>
            <w:tcW w:w="1551" w:type="dxa"/>
          </w:tcPr>
          <w:p w14:paraId="64C735AA" w14:textId="77777777" w:rsidR="00751157" w:rsidRPr="00197B23" w:rsidRDefault="00F432D9" w:rsidP="00197B23">
            <w:r>
              <w:t>30 minuter som en engångskostnad</w:t>
            </w:r>
          </w:p>
        </w:tc>
        <w:tc>
          <w:tcPr>
            <w:tcW w:w="1550" w:type="dxa"/>
          </w:tcPr>
          <w:p w14:paraId="4962B4E4" w14:textId="6F5886DA" w:rsidR="00751157" w:rsidRPr="00197B23" w:rsidRDefault="00BC6188" w:rsidP="00197B23">
            <w:r>
              <w:t>Ca. 440</w:t>
            </w:r>
          </w:p>
        </w:tc>
        <w:tc>
          <w:tcPr>
            <w:tcW w:w="1551" w:type="dxa"/>
          </w:tcPr>
          <w:p w14:paraId="6AC26B83" w14:textId="77777777" w:rsidR="00751157" w:rsidRPr="00197B23" w:rsidRDefault="00080166" w:rsidP="00197B23">
            <w:r>
              <w:t>90</w:t>
            </w:r>
            <w:r w:rsidR="00735FF4">
              <w:t> 000 kr som engångskostnad</w:t>
            </w:r>
          </w:p>
        </w:tc>
      </w:tr>
      <w:tr w:rsidR="00197B23" w:rsidRPr="00197B23" w14:paraId="674FCF1F" w14:textId="77777777" w:rsidTr="00E3057C">
        <w:tc>
          <w:tcPr>
            <w:tcW w:w="1486" w:type="dxa"/>
          </w:tcPr>
          <w:p w14:paraId="7CC7B1FA" w14:textId="523DD5A3" w:rsidR="00197B23" w:rsidRPr="00197B23" w:rsidRDefault="00D72FA9" w:rsidP="00197B23">
            <w:r>
              <w:lastRenderedPageBreak/>
              <w:t>5§</w:t>
            </w:r>
          </w:p>
        </w:tc>
        <w:tc>
          <w:tcPr>
            <w:tcW w:w="1486" w:type="dxa"/>
          </w:tcPr>
          <w:p w14:paraId="348B429B" w14:textId="23371F1F" w:rsidR="00FB365A" w:rsidRDefault="00324FA7" w:rsidP="00197B23">
            <w:r>
              <w:t>Företaget ska tillhandahålla dokumentation vid marknadskontrollen</w:t>
            </w:r>
          </w:p>
          <w:p w14:paraId="1403C6A6" w14:textId="61FEED93" w:rsidR="00C60851" w:rsidRPr="00197B23" w:rsidRDefault="00C60851" w:rsidP="00197B23"/>
        </w:tc>
        <w:tc>
          <w:tcPr>
            <w:tcW w:w="2268" w:type="dxa"/>
          </w:tcPr>
          <w:p w14:paraId="6FE88779" w14:textId="5DF37786" w:rsidR="00C40A6B" w:rsidRPr="00197B23" w:rsidRDefault="00C40A6B" w:rsidP="008D7A4A">
            <w:r w:rsidRPr="00C40A6B">
              <w:t xml:space="preserve">Art </w:t>
            </w:r>
            <w:r>
              <w:t>5.5</w:t>
            </w:r>
            <w:r w:rsidRPr="00C40A6B">
              <w:t xml:space="preserve"> i förordning (EU) 2023/2430</w:t>
            </w:r>
          </w:p>
        </w:tc>
        <w:tc>
          <w:tcPr>
            <w:tcW w:w="2693" w:type="dxa"/>
          </w:tcPr>
          <w:p w14:paraId="46A21D80" w14:textId="77777777" w:rsidR="00197B23" w:rsidRPr="00197B23" w:rsidRDefault="00197B23" w:rsidP="00197B23"/>
        </w:tc>
        <w:tc>
          <w:tcPr>
            <w:tcW w:w="1550" w:type="dxa"/>
          </w:tcPr>
          <w:p w14:paraId="54528ABF" w14:textId="165192EB" w:rsidR="00197B23" w:rsidRPr="00197B23" w:rsidRDefault="00090EB3" w:rsidP="00197B23">
            <w:r>
              <w:t>Grossister och vissa detaljister</w:t>
            </w:r>
            <w:r w:rsidR="00F92989">
              <w:t xml:space="preserve"> som handlar med frukt och grönt</w:t>
            </w:r>
          </w:p>
        </w:tc>
        <w:tc>
          <w:tcPr>
            <w:tcW w:w="1551" w:type="dxa"/>
          </w:tcPr>
          <w:p w14:paraId="7DA193A8" w14:textId="6BACAE98" w:rsidR="00743E83" w:rsidRPr="00197B23" w:rsidRDefault="00FB0ACB" w:rsidP="00197B23">
            <w:r>
              <w:t xml:space="preserve">Antalet kontrollbesök varierar med företagens storlek. Tidsåtgången för de minsta företagen beräknas till </w:t>
            </w:r>
            <w:r w:rsidR="00743E83">
              <w:t>0,1</w:t>
            </w:r>
            <w:r>
              <w:t xml:space="preserve"> timmar och för de största företagen till</w:t>
            </w:r>
            <w:r w:rsidR="00743E83">
              <w:t xml:space="preserve"> 3,3 ti</w:t>
            </w:r>
            <w:r w:rsidR="00226143">
              <w:t>mmar</w:t>
            </w:r>
          </w:p>
        </w:tc>
        <w:tc>
          <w:tcPr>
            <w:tcW w:w="1550" w:type="dxa"/>
          </w:tcPr>
          <w:p w14:paraId="3AAA7ECE" w14:textId="30F28A9F" w:rsidR="00226143" w:rsidRPr="00197B23" w:rsidRDefault="00226143" w:rsidP="00197B23">
            <w:r>
              <w:t xml:space="preserve">Ca 340 </w:t>
            </w:r>
            <w:bookmarkStart w:id="1" w:name="_Hlk181882408"/>
            <w:r>
              <w:t xml:space="preserve">företag som ingår i den pågående kontrollen av färsk frukt och grönt </w:t>
            </w:r>
            <w:bookmarkEnd w:id="1"/>
            <w:r>
              <w:t xml:space="preserve">och ca 100 företag som </w:t>
            </w:r>
            <w:bookmarkStart w:id="2" w:name="_Hlk181882438"/>
            <w:r>
              <w:t>tillkommer för hantering av torkade produkter</w:t>
            </w:r>
            <w:bookmarkEnd w:id="2"/>
          </w:p>
        </w:tc>
        <w:tc>
          <w:tcPr>
            <w:tcW w:w="1551" w:type="dxa"/>
          </w:tcPr>
          <w:p w14:paraId="39CF7888" w14:textId="0A149728" w:rsidR="00226143" w:rsidRPr="00197B23" w:rsidRDefault="00226143" w:rsidP="00197B23">
            <w:r>
              <w:t>66</w:t>
            </w:r>
            <w:bookmarkStart w:id="3" w:name="_Hlk181882496"/>
            <w:r>
              <w:t> </w:t>
            </w:r>
            <w:bookmarkEnd w:id="3"/>
            <w:r>
              <w:t>000 kr för hittills reglerade företag och 20 000 kr för tillkommande företag</w:t>
            </w:r>
          </w:p>
        </w:tc>
      </w:tr>
      <w:tr w:rsidR="00D72FA9" w:rsidRPr="00197B23" w14:paraId="53CD3CC5" w14:textId="77777777" w:rsidTr="00E3057C">
        <w:tc>
          <w:tcPr>
            <w:tcW w:w="1486" w:type="dxa"/>
          </w:tcPr>
          <w:p w14:paraId="7BC9D0AB" w14:textId="77777777" w:rsidR="00D72FA9" w:rsidRDefault="00D72FA9" w:rsidP="00197B23">
            <w:r>
              <w:t>6§</w:t>
            </w:r>
          </w:p>
        </w:tc>
        <w:tc>
          <w:tcPr>
            <w:tcW w:w="1486" w:type="dxa"/>
          </w:tcPr>
          <w:p w14:paraId="08572C5B" w14:textId="52F7A1C3" w:rsidR="00D72FA9" w:rsidRDefault="00D72FA9" w:rsidP="00197B23">
            <w:r>
              <w:t>Föranmälan av importsändningar.</w:t>
            </w:r>
          </w:p>
          <w:p w14:paraId="2720314F" w14:textId="01059394" w:rsidR="00D72FA9" w:rsidRPr="00197B23" w:rsidRDefault="00D72FA9" w:rsidP="00CE66EE"/>
        </w:tc>
        <w:tc>
          <w:tcPr>
            <w:tcW w:w="2268" w:type="dxa"/>
          </w:tcPr>
          <w:p w14:paraId="516B7499" w14:textId="5DE8F593" w:rsidR="00B51C42" w:rsidRPr="00197B23" w:rsidRDefault="00B51C42" w:rsidP="00197B23">
            <w:r>
              <w:t xml:space="preserve">Föranmälan är en förutsättning för </w:t>
            </w:r>
            <w:r w:rsidR="00DC7ABF">
              <w:t xml:space="preserve">den </w:t>
            </w:r>
            <w:r>
              <w:t xml:space="preserve">kontroll av importsändningar som ska göras enligt art 5 i </w:t>
            </w:r>
            <w:r w:rsidRPr="00B922CB">
              <w:t>förordning (EU) 2023/24</w:t>
            </w:r>
            <w:r>
              <w:t>30</w:t>
            </w:r>
            <w:bookmarkStart w:id="4" w:name="_GoBack"/>
            <w:bookmarkEnd w:id="4"/>
          </w:p>
        </w:tc>
        <w:tc>
          <w:tcPr>
            <w:tcW w:w="2693" w:type="dxa"/>
          </w:tcPr>
          <w:p w14:paraId="2264F730" w14:textId="77777777" w:rsidR="00D72FA9" w:rsidRPr="00197B23" w:rsidRDefault="00D72FA9" w:rsidP="00197B23"/>
        </w:tc>
        <w:tc>
          <w:tcPr>
            <w:tcW w:w="1550" w:type="dxa"/>
          </w:tcPr>
          <w:p w14:paraId="166BAB9B" w14:textId="77777777" w:rsidR="00D72FA9" w:rsidRPr="00197B23" w:rsidRDefault="00F92989" w:rsidP="00197B23">
            <w:r>
              <w:t>Företag</w:t>
            </w:r>
            <w:r w:rsidR="00090EB3">
              <w:t xml:space="preserve"> </w:t>
            </w:r>
            <w:r>
              <w:t xml:space="preserve">som importerar </w:t>
            </w:r>
            <w:r w:rsidR="00090EB3">
              <w:t xml:space="preserve">färsk </w:t>
            </w:r>
            <w:r>
              <w:t>frukt och grönt</w:t>
            </w:r>
          </w:p>
        </w:tc>
        <w:tc>
          <w:tcPr>
            <w:tcW w:w="1551" w:type="dxa"/>
          </w:tcPr>
          <w:p w14:paraId="3BA31181" w14:textId="40D5E7D6" w:rsidR="00D72FA9" w:rsidRDefault="005668B7" w:rsidP="00F432D9">
            <w:r>
              <w:t xml:space="preserve">5 timmar i medelvärde över alla importerande företag </w:t>
            </w:r>
          </w:p>
          <w:p w14:paraId="23950ACE" w14:textId="0A27D238" w:rsidR="00F432D9" w:rsidRPr="00F432D9" w:rsidRDefault="00F432D9" w:rsidP="00F432D9"/>
        </w:tc>
        <w:tc>
          <w:tcPr>
            <w:tcW w:w="1550" w:type="dxa"/>
          </w:tcPr>
          <w:p w14:paraId="27CC404D" w14:textId="17C2E118" w:rsidR="00D72FA9" w:rsidRDefault="00735FF4" w:rsidP="00197B23">
            <w:r>
              <w:t>1</w:t>
            </w:r>
            <w:r w:rsidR="00080166">
              <w:t>2</w:t>
            </w:r>
            <w:r>
              <w:t>0</w:t>
            </w:r>
          </w:p>
          <w:p w14:paraId="5B7ADE31" w14:textId="2D843175" w:rsidR="00735FF4" w:rsidRPr="00197B23" w:rsidRDefault="00735FF4" w:rsidP="00197B23"/>
        </w:tc>
        <w:tc>
          <w:tcPr>
            <w:tcW w:w="1551" w:type="dxa"/>
          </w:tcPr>
          <w:p w14:paraId="13AAE19C" w14:textId="42C95070" w:rsidR="00D72FA9" w:rsidRDefault="00735FF4" w:rsidP="00197B23">
            <w:r>
              <w:t>2</w:t>
            </w:r>
            <w:r w:rsidR="00080166">
              <w:t>3</w:t>
            </w:r>
            <w:r w:rsidR="00F974BB">
              <w:t>3</w:t>
            </w:r>
            <w:r>
              <w:t> 000 kr</w:t>
            </w:r>
          </w:p>
          <w:p w14:paraId="4A1CF419" w14:textId="12BD1CBC" w:rsidR="00735FF4" w:rsidRPr="00197B23" w:rsidRDefault="00735FF4" w:rsidP="00197B23"/>
        </w:tc>
      </w:tr>
      <w:tr w:rsidR="00D72FA9" w:rsidRPr="00197B23" w14:paraId="773404D9" w14:textId="77777777" w:rsidTr="00E3057C">
        <w:tc>
          <w:tcPr>
            <w:tcW w:w="1486" w:type="dxa"/>
          </w:tcPr>
          <w:p w14:paraId="03A13BAB" w14:textId="77777777" w:rsidR="00D72FA9" w:rsidRDefault="00D72FA9" w:rsidP="00197B23">
            <w:r>
              <w:t>7§</w:t>
            </w:r>
          </w:p>
        </w:tc>
        <w:tc>
          <w:tcPr>
            <w:tcW w:w="1486" w:type="dxa"/>
          </w:tcPr>
          <w:p w14:paraId="5B7ACA63" w14:textId="77777777" w:rsidR="00D72FA9" w:rsidRPr="00197B23" w:rsidRDefault="00D72FA9" w:rsidP="00197B23">
            <w:r>
              <w:t>Ansökan om undantag för bananer (vart tredje år)</w:t>
            </w:r>
          </w:p>
        </w:tc>
        <w:tc>
          <w:tcPr>
            <w:tcW w:w="2268" w:type="dxa"/>
          </w:tcPr>
          <w:p w14:paraId="10B32BCF" w14:textId="77777777" w:rsidR="00D72FA9" w:rsidRPr="00197B23" w:rsidRDefault="00B51C42" w:rsidP="00197B23">
            <w:r>
              <w:t xml:space="preserve">Art 4.1c i </w:t>
            </w:r>
            <w:r w:rsidRPr="00B922CB">
              <w:t>förordning (EU) 2023/24</w:t>
            </w:r>
            <w:r>
              <w:t>30</w:t>
            </w:r>
          </w:p>
        </w:tc>
        <w:tc>
          <w:tcPr>
            <w:tcW w:w="2693" w:type="dxa"/>
          </w:tcPr>
          <w:p w14:paraId="44A450A2" w14:textId="77777777" w:rsidR="00D72FA9" w:rsidRPr="00197B23" w:rsidRDefault="00D72FA9" w:rsidP="00197B23"/>
        </w:tc>
        <w:tc>
          <w:tcPr>
            <w:tcW w:w="1550" w:type="dxa"/>
          </w:tcPr>
          <w:p w14:paraId="6EB625AC" w14:textId="77777777" w:rsidR="00D72FA9" w:rsidRPr="00197B23" w:rsidRDefault="00F92989" w:rsidP="00197B23">
            <w:r>
              <w:t>Företag (utom detaljhandel och transportörer) som importerar bananer</w:t>
            </w:r>
          </w:p>
        </w:tc>
        <w:tc>
          <w:tcPr>
            <w:tcW w:w="1551" w:type="dxa"/>
          </w:tcPr>
          <w:p w14:paraId="5CD03AFB" w14:textId="77777777" w:rsidR="00D72FA9" w:rsidRPr="00197B23" w:rsidRDefault="00F432D9" w:rsidP="00197B23">
            <w:r>
              <w:t>30 minuter vart tredje år</w:t>
            </w:r>
          </w:p>
        </w:tc>
        <w:tc>
          <w:tcPr>
            <w:tcW w:w="1550" w:type="dxa"/>
          </w:tcPr>
          <w:p w14:paraId="3B73A6FF" w14:textId="77777777" w:rsidR="00D72FA9" w:rsidRPr="00197B23" w:rsidRDefault="00735FF4" w:rsidP="00197B23">
            <w:r>
              <w:t>4</w:t>
            </w:r>
          </w:p>
        </w:tc>
        <w:tc>
          <w:tcPr>
            <w:tcW w:w="1551" w:type="dxa"/>
          </w:tcPr>
          <w:p w14:paraId="5EDA491F" w14:textId="77777777" w:rsidR="00D72FA9" w:rsidRPr="00197B23" w:rsidRDefault="00735FF4" w:rsidP="00197B23">
            <w:r>
              <w:t>270 kr</w:t>
            </w:r>
          </w:p>
        </w:tc>
      </w:tr>
      <w:tr w:rsidR="00D72FA9" w:rsidRPr="00197B23" w14:paraId="2E4F2190" w14:textId="77777777" w:rsidTr="00E3057C">
        <w:tc>
          <w:tcPr>
            <w:tcW w:w="1486" w:type="dxa"/>
          </w:tcPr>
          <w:p w14:paraId="21AAE9D3" w14:textId="77777777" w:rsidR="00D72FA9" w:rsidRDefault="00DC7ABF" w:rsidP="00197B23">
            <w:r>
              <w:t>8§</w:t>
            </w:r>
          </w:p>
        </w:tc>
        <w:tc>
          <w:tcPr>
            <w:tcW w:w="1486" w:type="dxa"/>
          </w:tcPr>
          <w:p w14:paraId="34D91A32" w14:textId="77777777" w:rsidR="00D72FA9" w:rsidRDefault="00DC7ABF" w:rsidP="00197B23">
            <w:r>
              <w:t>Uppvisa intyg om undantag</w:t>
            </w:r>
            <w:r w:rsidR="00FC5C2D">
              <w:t xml:space="preserve"> från importkontroll</w:t>
            </w:r>
            <w:r>
              <w:t xml:space="preserve"> vid import av bananer</w:t>
            </w:r>
          </w:p>
          <w:p w14:paraId="07CEC224" w14:textId="77777777" w:rsidR="005106DB" w:rsidRPr="00197B23" w:rsidRDefault="005106DB" w:rsidP="00197B23">
            <w:r>
              <w:t>(årligen)</w:t>
            </w:r>
          </w:p>
        </w:tc>
        <w:tc>
          <w:tcPr>
            <w:tcW w:w="2268" w:type="dxa"/>
          </w:tcPr>
          <w:p w14:paraId="21FA879E" w14:textId="77777777" w:rsidR="00D72FA9" w:rsidRPr="00197B23" w:rsidRDefault="00FC5C2D" w:rsidP="00197B23">
            <w:r>
              <w:t xml:space="preserve">Art. 6.1a i </w:t>
            </w:r>
            <w:r w:rsidRPr="00B922CB">
              <w:t>förordning (EU) 2023/24</w:t>
            </w:r>
            <w:r>
              <w:t>30</w:t>
            </w:r>
          </w:p>
        </w:tc>
        <w:tc>
          <w:tcPr>
            <w:tcW w:w="2693" w:type="dxa"/>
          </w:tcPr>
          <w:p w14:paraId="23317624" w14:textId="77777777" w:rsidR="00D72FA9" w:rsidRPr="00197B23" w:rsidRDefault="00D72FA9" w:rsidP="00197B23"/>
        </w:tc>
        <w:tc>
          <w:tcPr>
            <w:tcW w:w="1550" w:type="dxa"/>
          </w:tcPr>
          <w:p w14:paraId="3B8E1054" w14:textId="77777777" w:rsidR="00D72FA9" w:rsidRPr="00197B23" w:rsidRDefault="00F92989" w:rsidP="00197B23">
            <w:r>
              <w:t>Företag (utom detaljhandel och transportörer) som importerar bananer</w:t>
            </w:r>
          </w:p>
        </w:tc>
        <w:tc>
          <w:tcPr>
            <w:tcW w:w="1551" w:type="dxa"/>
          </w:tcPr>
          <w:p w14:paraId="54154AC5" w14:textId="1C7D97C5" w:rsidR="00D72FA9" w:rsidRPr="00197B23" w:rsidRDefault="005668B7" w:rsidP="00197B23">
            <w:r>
              <w:t>10 minuter</w:t>
            </w:r>
          </w:p>
        </w:tc>
        <w:tc>
          <w:tcPr>
            <w:tcW w:w="1550" w:type="dxa"/>
          </w:tcPr>
          <w:p w14:paraId="4FE242C1" w14:textId="77777777" w:rsidR="00D72FA9" w:rsidRPr="00197B23" w:rsidRDefault="00735FF4" w:rsidP="00197B23">
            <w:r>
              <w:t>4</w:t>
            </w:r>
          </w:p>
        </w:tc>
        <w:tc>
          <w:tcPr>
            <w:tcW w:w="1551" w:type="dxa"/>
          </w:tcPr>
          <w:p w14:paraId="3627C220" w14:textId="77777777" w:rsidR="00D72FA9" w:rsidRPr="00197B23" w:rsidRDefault="00735FF4" w:rsidP="00197B23">
            <w:r>
              <w:t>270 kr</w:t>
            </w:r>
          </w:p>
        </w:tc>
      </w:tr>
      <w:tr w:rsidR="00D72FA9" w:rsidRPr="00197B23" w14:paraId="47A126B9" w14:textId="77777777" w:rsidTr="00E3057C">
        <w:tc>
          <w:tcPr>
            <w:tcW w:w="1486" w:type="dxa"/>
          </w:tcPr>
          <w:p w14:paraId="2CC76648" w14:textId="77777777" w:rsidR="00D72FA9" w:rsidRDefault="00FC5C2D" w:rsidP="00197B23">
            <w:r>
              <w:t>9§</w:t>
            </w:r>
          </w:p>
        </w:tc>
        <w:tc>
          <w:tcPr>
            <w:tcW w:w="1486" w:type="dxa"/>
          </w:tcPr>
          <w:p w14:paraId="78ABB13E" w14:textId="77777777" w:rsidR="00D72FA9" w:rsidRDefault="00FC5C2D" w:rsidP="00197B23">
            <w:r>
              <w:t>Sända tillbaka intyg om Jordbruksverket återkallar undantag för bananer</w:t>
            </w:r>
          </w:p>
          <w:p w14:paraId="6DBB9699" w14:textId="17B7C1AB" w:rsidR="00E458B7" w:rsidRPr="00197B23" w:rsidRDefault="00FC5C2D" w:rsidP="00CE66EE">
            <w:r>
              <w:lastRenderedPageBreak/>
              <w:t xml:space="preserve">(endast </w:t>
            </w:r>
            <w:r w:rsidR="005106DB">
              <w:t>i förekommande fall</w:t>
            </w:r>
            <w:r>
              <w:t>)</w:t>
            </w:r>
          </w:p>
        </w:tc>
        <w:tc>
          <w:tcPr>
            <w:tcW w:w="2268" w:type="dxa"/>
          </w:tcPr>
          <w:p w14:paraId="508D6E2E" w14:textId="77777777" w:rsidR="00D72FA9" w:rsidRPr="00197B23" w:rsidRDefault="00FC5C2D" w:rsidP="00197B23">
            <w:r>
              <w:lastRenderedPageBreak/>
              <w:t xml:space="preserve">Art. 4.4 i </w:t>
            </w:r>
            <w:r w:rsidRPr="00B922CB">
              <w:t>förordning (EU) 2023/24</w:t>
            </w:r>
            <w:r>
              <w:t>30</w:t>
            </w:r>
          </w:p>
        </w:tc>
        <w:tc>
          <w:tcPr>
            <w:tcW w:w="2693" w:type="dxa"/>
          </w:tcPr>
          <w:p w14:paraId="5CC8CBA0" w14:textId="77777777" w:rsidR="00D72FA9" w:rsidRPr="00197B23" w:rsidRDefault="00D72FA9" w:rsidP="00197B23"/>
        </w:tc>
        <w:tc>
          <w:tcPr>
            <w:tcW w:w="1550" w:type="dxa"/>
          </w:tcPr>
          <w:p w14:paraId="1E38AF11" w14:textId="77777777" w:rsidR="00D72FA9" w:rsidRPr="00197B23" w:rsidRDefault="00F92989" w:rsidP="00197B23">
            <w:r>
              <w:t>Företag (utom detaljhandel och transportörer) som importerar bananer</w:t>
            </w:r>
          </w:p>
        </w:tc>
        <w:tc>
          <w:tcPr>
            <w:tcW w:w="1551" w:type="dxa"/>
          </w:tcPr>
          <w:p w14:paraId="7FA0CEE7" w14:textId="5E8FD9FC" w:rsidR="00D72FA9" w:rsidRPr="00197B23" w:rsidRDefault="00B46FF6" w:rsidP="00197B23">
            <w:r>
              <w:t>10 minuter i förekommande fall</w:t>
            </w:r>
          </w:p>
        </w:tc>
        <w:tc>
          <w:tcPr>
            <w:tcW w:w="1550" w:type="dxa"/>
          </w:tcPr>
          <w:p w14:paraId="572E68CE" w14:textId="2BABDE5B" w:rsidR="00D72FA9" w:rsidRPr="00197B23" w:rsidRDefault="00122F1D" w:rsidP="00197B23">
            <w:r>
              <w:t>Uppskattas till närmare 0, då detta enligt vår kännedom hittills inte hänt</w:t>
            </w:r>
          </w:p>
        </w:tc>
        <w:tc>
          <w:tcPr>
            <w:tcW w:w="1551" w:type="dxa"/>
          </w:tcPr>
          <w:p w14:paraId="2A778E77" w14:textId="0132CF02" w:rsidR="00D72FA9" w:rsidRPr="00197B23" w:rsidRDefault="00122F1D" w:rsidP="00197B23">
            <w:r>
              <w:t>Uppskattas till närmare 0, då detta enligt vår kännedom hittills inte hänt</w:t>
            </w:r>
          </w:p>
        </w:tc>
      </w:tr>
      <w:tr w:rsidR="00D72FA9" w:rsidRPr="00197B23" w14:paraId="756B41EC" w14:textId="77777777" w:rsidTr="00E3057C">
        <w:tc>
          <w:tcPr>
            <w:tcW w:w="1486" w:type="dxa"/>
          </w:tcPr>
          <w:p w14:paraId="0C576997" w14:textId="77777777" w:rsidR="00D72FA9" w:rsidRDefault="00FC5C2D" w:rsidP="00197B23">
            <w:r>
              <w:t xml:space="preserve">10§ </w:t>
            </w:r>
          </w:p>
        </w:tc>
        <w:tc>
          <w:tcPr>
            <w:tcW w:w="1486" w:type="dxa"/>
          </w:tcPr>
          <w:p w14:paraId="107A8C4B" w14:textId="392D7081" w:rsidR="00E1071C" w:rsidRPr="00197B23" w:rsidRDefault="00E1071C" w:rsidP="00CE66EE">
            <w:r>
              <w:t xml:space="preserve">Jordbruksverket kan </w:t>
            </w:r>
            <w:r w:rsidR="00122F1D">
              <w:t>ge</w:t>
            </w:r>
            <w:r w:rsidR="00122F1D" w:rsidRPr="004D16B8">
              <w:t xml:space="preserve"> </w:t>
            </w:r>
            <w:r w:rsidRPr="004D16B8">
              <w:t xml:space="preserve">undantag från </w:t>
            </w:r>
            <w:r>
              <w:t xml:space="preserve">relevanta </w:t>
            </w:r>
            <w:r w:rsidRPr="004D16B8">
              <w:t>krav</w:t>
            </w:r>
            <w:r>
              <w:t xml:space="preserve"> i kriser när kvalitetskontrollen inte kan utföras</w:t>
            </w:r>
            <w:r w:rsidR="00122F1D">
              <w:t>, efter ansökan från berörda företag</w:t>
            </w:r>
            <w:r>
              <w:t>.</w:t>
            </w:r>
          </w:p>
        </w:tc>
        <w:tc>
          <w:tcPr>
            <w:tcW w:w="2268" w:type="dxa"/>
          </w:tcPr>
          <w:p w14:paraId="4864C2D5" w14:textId="0E27EB5B" w:rsidR="00D72FA9" w:rsidRPr="00197B23" w:rsidRDefault="00D72FA9" w:rsidP="00197B23"/>
        </w:tc>
        <w:tc>
          <w:tcPr>
            <w:tcW w:w="2693" w:type="dxa"/>
          </w:tcPr>
          <w:p w14:paraId="5C9337F3" w14:textId="2BAEB6FC" w:rsidR="00BC4204" w:rsidRPr="00197B23" w:rsidRDefault="00BC4204" w:rsidP="00197B23"/>
        </w:tc>
        <w:tc>
          <w:tcPr>
            <w:tcW w:w="1550" w:type="dxa"/>
          </w:tcPr>
          <w:p w14:paraId="16D64590" w14:textId="77777777" w:rsidR="00D72FA9" w:rsidRPr="00197B23" w:rsidRDefault="00D72FA9" w:rsidP="00197B23"/>
        </w:tc>
        <w:tc>
          <w:tcPr>
            <w:tcW w:w="1551" w:type="dxa"/>
          </w:tcPr>
          <w:p w14:paraId="35376873" w14:textId="3AE189E5" w:rsidR="00D72FA9" w:rsidRPr="00197B23" w:rsidRDefault="00122F1D" w:rsidP="00197B23">
            <w:r>
              <w:t>30 minuter i förekommande fall</w:t>
            </w:r>
          </w:p>
        </w:tc>
        <w:tc>
          <w:tcPr>
            <w:tcW w:w="1550" w:type="dxa"/>
          </w:tcPr>
          <w:p w14:paraId="29AED407" w14:textId="09E78E06" w:rsidR="00D72FA9" w:rsidRPr="00197B23" w:rsidRDefault="00122F1D" w:rsidP="00197B23">
            <w:r>
              <w:t>Uppskattas till närmare 0, då detta enligt vår bedömning kommer att vara ytterst ovanligt</w:t>
            </w:r>
          </w:p>
        </w:tc>
        <w:tc>
          <w:tcPr>
            <w:tcW w:w="1551" w:type="dxa"/>
          </w:tcPr>
          <w:p w14:paraId="3308D8A0" w14:textId="68B19672" w:rsidR="00D72FA9" w:rsidRPr="00197B23" w:rsidRDefault="00122F1D" w:rsidP="00197B23">
            <w:r>
              <w:t>Uppskattas till närmare 0, då detta enligt vår bedömning kommer att vara ytterst ovanligt</w:t>
            </w:r>
          </w:p>
        </w:tc>
      </w:tr>
      <w:tr w:rsidR="00706B26" w:rsidRPr="00197B23" w14:paraId="360DE3F2" w14:textId="77777777" w:rsidTr="00E3057C">
        <w:tc>
          <w:tcPr>
            <w:tcW w:w="1486" w:type="dxa"/>
          </w:tcPr>
          <w:p w14:paraId="2ECCE5BC" w14:textId="77777777" w:rsidR="00706B26" w:rsidRPr="00197B23" w:rsidRDefault="00706B26" w:rsidP="00197B23"/>
        </w:tc>
        <w:tc>
          <w:tcPr>
            <w:tcW w:w="1486" w:type="dxa"/>
          </w:tcPr>
          <w:p w14:paraId="05961F76" w14:textId="77777777" w:rsidR="00706B26" w:rsidRPr="00197B23" w:rsidRDefault="00706B26" w:rsidP="00197B23"/>
        </w:tc>
        <w:tc>
          <w:tcPr>
            <w:tcW w:w="2268" w:type="dxa"/>
          </w:tcPr>
          <w:p w14:paraId="6B41B440" w14:textId="77777777" w:rsidR="00706B26" w:rsidRPr="00197B23" w:rsidRDefault="00706B26" w:rsidP="00197B23"/>
        </w:tc>
        <w:tc>
          <w:tcPr>
            <w:tcW w:w="2693" w:type="dxa"/>
          </w:tcPr>
          <w:p w14:paraId="52ACF8E7" w14:textId="77777777" w:rsidR="00706B26" w:rsidRPr="00197B23" w:rsidRDefault="00706B26" w:rsidP="00197B23"/>
        </w:tc>
        <w:tc>
          <w:tcPr>
            <w:tcW w:w="1550" w:type="dxa"/>
          </w:tcPr>
          <w:p w14:paraId="50D5A749" w14:textId="77777777" w:rsidR="00706B26" w:rsidRPr="00197B23" w:rsidRDefault="00706B26" w:rsidP="00197B23"/>
        </w:tc>
        <w:tc>
          <w:tcPr>
            <w:tcW w:w="1551" w:type="dxa"/>
          </w:tcPr>
          <w:p w14:paraId="2F7F6E8B" w14:textId="77777777" w:rsidR="00706B26" w:rsidRPr="00197B23" w:rsidRDefault="00706B26" w:rsidP="00197B23"/>
        </w:tc>
        <w:tc>
          <w:tcPr>
            <w:tcW w:w="1550" w:type="dxa"/>
          </w:tcPr>
          <w:p w14:paraId="46C087DD" w14:textId="77777777" w:rsidR="00706B26" w:rsidRPr="00197B23" w:rsidRDefault="00706B26" w:rsidP="00197B23"/>
        </w:tc>
        <w:tc>
          <w:tcPr>
            <w:tcW w:w="1551" w:type="dxa"/>
          </w:tcPr>
          <w:p w14:paraId="6328FA0E" w14:textId="77777777" w:rsidR="00706B26" w:rsidRPr="00197B23" w:rsidRDefault="00706B26" w:rsidP="00197B23"/>
        </w:tc>
      </w:tr>
    </w:tbl>
    <w:p w14:paraId="4DEE943A" w14:textId="77777777" w:rsidR="00725CB3" w:rsidRPr="00751157" w:rsidRDefault="00725CB3" w:rsidP="00751157">
      <w:pPr>
        <w:pStyle w:val="Mellanrum"/>
      </w:pPr>
    </w:p>
    <w:p w14:paraId="642CE68E" w14:textId="77777777" w:rsidR="00B83147" w:rsidRDefault="00B83147"/>
    <w:tbl>
      <w:tblPr>
        <w:tblStyle w:val="SJVtabellenkel"/>
        <w:tblW w:w="1642" w:type="pct"/>
        <w:tblInd w:w="9493" w:type="dxa"/>
        <w:tblLayout w:type="fixed"/>
        <w:tblLook w:val="0620" w:firstRow="1" w:lastRow="0" w:firstColumn="0" w:lastColumn="0" w:noHBand="1" w:noVBand="1"/>
      </w:tblPr>
      <w:tblGrid>
        <w:gridCol w:w="3091"/>
        <w:gridCol w:w="1551"/>
      </w:tblGrid>
      <w:tr w:rsidR="00725CB3" w:rsidRPr="00197B23" w14:paraId="5009B9F3" w14:textId="77777777" w:rsidTr="00B83147">
        <w:trPr>
          <w:cnfStyle w:val="100000000000" w:firstRow="1" w:lastRow="0" w:firstColumn="0" w:lastColumn="0" w:oddVBand="0" w:evenVBand="0" w:oddHBand="0" w:evenHBand="0" w:firstRowFirstColumn="0" w:firstRowLastColumn="0" w:lastRowFirstColumn="0" w:lastRowLastColumn="0"/>
          <w:tblHeader/>
        </w:trPr>
        <w:tc>
          <w:tcPr>
            <w:tcW w:w="3090" w:type="dxa"/>
          </w:tcPr>
          <w:p w14:paraId="54B962B1" w14:textId="77777777" w:rsidR="00725CB3" w:rsidRPr="00197B23" w:rsidRDefault="00725CB3" w:rsidP="00197B23">
            <w:r w:rsidRPr="00197B23">
              <w:t>Summa</w:t>
            </w:r>
            <w:r>
              <w:t xml:space="preserve"> </w:t>
            </w:r>
            <w:r w:rsidRPr="00197B23">
              <w:t>administrativ kostnad per år</w:t>
            </w:r>
          </w:p>
        </w:tc>
        <w:tc>
          <w:tcPr>
            <w:tcW w:w="1551" w:type="dxa"/>
          </w:tcPr>
          <w:p w14:paraId="670BF02C" w14:textId="03FF2F04" w:rsidR="00725CB3" w:rsidRPr="00197B23" w:rsidRDefault="005D055A" w:rsidP="00197B23">
            <w:r>
              <w:t>320</w:t>
            </w:r>
            <w:r w:rsidR="00B83147">
              <w:t xml:space="preserve"> 000 </w:t>
            </w:r>
            <w:r w:rsidR="002439D6">
              <w:t>kr (plus engångskostnaden på 90 000 kr)</w:t>
            </w:r>
          </w:p>
        </w:tc>
      </w:tr>
    </w:tbl>
    <w:p w14:paraId="202F83AF" w14:textId="77777777" w:rsidR="00397A20" w:rsidRPr="00197B23" w:rsidRDefault="00397A20" w:rsidP="00397A20">
      <w:pPr>
        <w:pStyle w:val="Rubrik2"/>
      </w:pPr>
      <w:r w:rsidRPr="00197B23">
        <w:t xml:space="preserve">Samlad kostnad för upphävda </w:t>
      </w:r>
      <w:r w:rsidRPr="00397A20">
        <w:t>administrativa</w:t>
      </w:r>
      <w:r w:rsidRPr="00197B23">
        <w:t xml:space="preserve"> bördor</w:t>
      </w:r>
    </w:p>
    <w:p w14:paraId="59DB9356" w14:textId="20003E98" w:rsidR="00397A20" w:rsidRPr="00496073" w:rsidRDefault="00397A20" w:rsidP="00FF4298">
      <w:pPr>
        <w:pStyle w:val="Tabelltext"/>
        <w:tabs>
          <w:tab w:val="left" w:pos="5103"/>
        </w:tabs>
      </w:pPr>
      <w:r w:rsidRPr="00197B23">
        <w:t xml:space="preserve">Ange samlad kostnad för administrativa bördor som upphävs </w:t>
      </w:r>
      <w:r w:rsidR="00FF4298">
        <w:br/>
      </w:r>
      <w:r w:rsidRPr="00197B23">
        <w:t>på grund av</w:t>
      </w:r>
      <w:r w:rsidR="00FF4298">
        <w:t xml:space="preserve"> </w:t>
      </w:r>
      <w:r w:rsidRPr="00197B23">
        <w:t>föreskriften eller det allmänna rådet.</w:t>
      </w:r>
      <w:r w:rsidRPr="00197B23">
        <w:tab/>
      </w:r>
      <w:r w:rsidR="005D055A">
        <w:t>300</w:t>
      </w:r>
      <w:r w:rsidR="00B83147">
        <w:t xml:space="preserve"> 000 </w:t>
      </w:r>
      <w:r w:rsidRPr="00397A20">
        <w:t>kronor</w:t>
      </w:r>
    </w:p>
    <w:p w14:paraId="57B01E03" w14:textId="77777777" w:rsidR="006676DC" w:rsidRPr="006676DC" w:rsidRDefault="006676DC" w:rsidP="00321617">
      <w:pPr>
        <w:pStyle w:val="Rubrik2"/>
      </w:pPr>
      <w:r w:rsidRPr="006676DC">
        <w:lastRenderedPageBreak/>
        <w:t>Jämfört med tidigare uppgifter kommer den administrativa bördan att</w:t>
      </w:r>
    </w:p>
    <w:p w14:paraId="1A7C35C7" w14:textId="77777777" w:rsidR="006676DC" w:rsidRPr="006676DC" w:rsidRDefault="00DF372E" w:rsidP="00725CB3">
      <w:pPr>
        <w:pStyle w:val="Tabelltext"/>
        <w:keepNext/>
        <w:keepLines/>
      </w:pPr>
      <w:sdt>
        <w:sdtPr>
          <w:id w:val="1155419316"/>
          <w14:checkbox>
            <w14:checked w14:val="0"/>
            <w14:checkedState w14:val="2612" w14:font="MS Gothic"/>
            <w14:uncheckedState w14:val="2610" w14:font="MS Gothic"/>
          </w14:checkbox>
        </w:sdtPr>
        <w:sdtEndPr/>
        <w:sdtContent>
          <w:r w:rsidR="002649EC" w:rsidRPr="00496073">
            <w:rPr>
              <w:rFonts w:ascii="Segoe UI Symbol" w:hAnsi="Segoe UI Symbol" w:cs="Segoe UI Symbol"/>
            </w:rPr>
            <w:t>☐</w:t>
          </w:r>
        </w:sdtContent>
      </w:sdt>
      <w:r w:rsidR="006676DC">
        <w:tab/>
      </w:r>
      <w:r w:rsidR="006676DC" w:rsidRPr="006676DC">
        <w:t xml:space="preserve">Minska med </w:t>
      </w:r>
      <w:sdt>
        <w:sdtPr>
          <w:id w:val="-439223027"/>
          <w:placeholder>
            <w:docPart w:val="65DB81A2FC42490FAD38B63A6C7413C3"/>
          </w:placeholder>
          <w:temporary/>
          <w:showingPlcHdr/>
          <w:text/>
        </w:sdtPr>
        <w:sdtEndPr/>
        <w:sdtContent>
          <w:r w:rsidR="005C05D7" w:rsidRPr="000C55E6">
            <w:rPr>
              <w:rStyle w:val="Platshllartext"/>
            </w:rPr>
            <w:t>ange antal</w:t>
          </w:r>
        </w:sdtContent>
      </w:sdt>
      <w:r w:rsidR="005C05D7">
        <w:t xml:space="preserve"> </w:t>
      </w:r>
      <w:r w:rsidR="006676DC" w:rsidRPr="006676DC">
        <w:t>kr</w:t>
      </w:r>
      <w:r w:rsidR="005C05D7">
        <w:t>onor</w:t>
      </w:r>
      <w:r w:rsidR="006676DC" w:rsidRPr="006676DC">
        <w:t xml:space="preserve"> per år</w:t>
      </w:r>
    </w:p>
    <w:p w14:paraId="2A27E138" w14:textId="17391E68" w:rsidR="006676DC" w:rsidRPr="006676DC" w:rsidRDefault="00DF372E" w:rsidP="00725CB3">
      <w:pPr>
        <w:pStyle w:val="Tabelltext"/>
        <w:keepNext/>
        <w:keepLines/>
      </w:pPr>
      <w:sdt>
        <w:sdtPr>
          <w:id w:val="-1066183531"/>
          <w14:checkbox>
            <w14:checked w14:val="1"/>
            <w14:checkedState w14:val="2612" w14:font="MS Gothic"/>
            <w14:uncheckedState w14:val="2610" w14:font="MS Gothic"/>
          </w14:checkbox>
        </w:sdtPr>
        <w:sdtEndPr/>
        <w:sdtContent>
          <w:r w:rsidR="00CE3EA9">
            <w:rPr>
              <w:rFonts w:ascii="MS Gothic" w:eastAsia="MS Gothic" w:hAnsi="MS Gothic" w:hint="eastAsia"/>
            </w:rPr>
            <w:t>☒</w:t>
          </w:r>
        </w:sdtContent>
      </w:sdt>
      <w:r w:rsidR="006676DC">
        <w:tab/>
      </w:r>
      <w:r w:rsidR="006676DC" w:rsidRPr="006676DC">
        <w:t>Vara oförändrad</w:t>
      </w:r>
      <w:r w:rsidR="00CE3EA9">
        <w:t xml:space="preserve"> för </w:t>
      </w:r>
      <w:r w:rsidR="00F974BB">
        <w:t xml:space="preserve">företag som hanterar </w:t>
      </w:r>
      <w:r w:rsidR="00CE3EA9">
        <w:t>de produkter inom frukt och grönt som hittills varit reglerade (merparten)</w:t>
      </w:r>
    </w:p>
    <w:p w14:paraId="56F7F796" w14:textId="43D0CB6A" w:rsidR="006676DC" w:rsidRDefault="00DF372E" w:rsidP="00725CB3">
      <w:pPr>
        <w:pStyle w:val="Tabelltext"/>
        <w:keepNext/>
        <w:keepLines/>
      </w:pPr>
      <w:sdt>
        <w:sdtPr>
          <w:id w:val="-1346477849"/>
          <w14:checkbox>
            <w14:checked w14:val="1"/>
            <w14:checkedState w14:val="2612" w14:font="MS Gothic"/>
            <w14:uncheckedState w14:val="2610" w14:font="MS Gothic"/>
          </w14:checkbox>
        </w:sdtPr>
        <w:sdtEndPr/>
        <w:sdtContent>
          <w:r w:rsidR="00CE3EA9">
            <w:rPr>
              <w:rFonts w:ascii="MS Gothic" w:eastAsia="MS Gothic" w:hAnsi="MS Gothic" w:hint="eastAsia"/>
            </w:rPr>
            <w:t>☒</w:t>
          </w:r>
        </w:sdtContent>
      </w:sdt>
      <w:r w:rsidR="006676DC">
        <w:tab/>
      </w:r>
      <w:r w:rsidR="006676DC" w:rsidRPr="006676DC">
        <w:t xml:space="preserve">Öka med </w:t>
      </w:r>
      <w:r w:rsidR="005D055A">
        <w:t xml:space="preserve">20 000 </w:t>
      </w:r>
      <w:r w:rsidR="006676DC" w:rsidRPr="006676DC">
        <w:t>kronor per år</w:t>
      </w:r>
      <w:r w:rsidR="00F974BB">
        <w:t xml:space="preserve"> samt </w:t>
      </w:r>
      <w:r w:rsidR="00BC6188">
        <w:t xml:space="preserve">en </w:t>
      </w:r>
      <w:r w:rsidR="00F974BB">
        <w:t>engångskostnad på 20 000 kr för företag som</w:t>
      </w:r>
      <w:r w:rsidR="008D7A4A">
        <w:t xml:space="preserve"> endast</w:t>
      </w:r>
      <w:r w:rsidR="00F974BB">
        <w:t xml:space="preserve"> hanterar de produkter som tillkommer i och med ändringen (ett mindre antal)</w:t>
      </w:r>
    </w:p>
    <w:p w14:paraId="01E211F5" w14:textId="77777777" w:rsidR="008921A6" w:rsidRPr="003C36EC" w:rsidRDefault="008921A6" w:rsidP="007D04F1">
      <w:pPr>
        <w:pStyle w:val="Infotext"/>
        <w:rPr>
          <w:sz w:val="17"/>
          <w:szCs w:val="17"/>
        </w:rPr>
      </w:pPr>
      <w:r w:rsidRPr="003C36EC">
        <w:rPr>
          <w:sz w:val="17"/>
          <w:szCs w:val="17"/>
        </w:rPr>
        <w:t>Du kan läsa mer om administrativa bördor i Hjälpreda – Administrativa bördan för företagen. Du hittar den på Magasinet/Regler &amp; Vägledning/Vägledning i juridiska frågor.</w:t>
      </w:r>
    </w:p>
    <w:sectPr w:rsidR="008921A6" w:rsidRPr="003C36EC" w:rsidSect="00725CB3">
      <w:headerReference w:type="even" r:id="rId9"/>
      <w:headerReference w:type="default" r:id="rId10"/>
      <w:footerReference w:type="even" r:id="rId11"/>
      <w:footerReference w:type="default" r:id="rId12"/>
      <w:headerReference w:type="first" r:id="rId13"/>
      <w:footerReference w:type="first" r:id="rId14"/>
      <w:type w:val="continuous"/>
      <w:pgSz w:w="16838" w:h="11906" w:orient="landscape"/>
      <w:pgMar w:top="2127" w:right="992"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168EE3" w14:textId="77777777" w:rsidR="00000CA0" w:rsidRDefault="00000CA0" w:rsidP="00455A35">
      <w:pPr>
        <w:spacing w:after="0" w:line="240" w:lineRule="auto"/>
      </w:pPr>
      <w:r>
        <w:separator/>
      </w:r>
    </w:p>
  </w:endnote>
  <w:endnote w:type="continuationSeparator" w:id="0">
    <w:p w14:paraId="125DE511" w14:textId="77777777" w:rsidR="00000CA0" w:rsidRDefault="00000CA0" w:rsidP="00455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A2346" w14:textId="77777777" w:rsidR="00000CA0" w:rsidRDefault="00000CA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E6427" w14:textId="77777777" w:rsidR="007D7E85" w:rsidRPr="007D7E85" w:rsidRDefault="007D7E85" w:rsidP="00B3239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63B81" w14:textId="77777777" w:rsidR="00000CA0" w:rsidRDefault="00000C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08C816" w14:textId="77777777" w:rsidR="00000CA0" w:rsidRDefault="00000CA0" w:rsidP="00455A35">
      <w:pPr>
        <w:spacing w:after="0" w:line="240" w:lineRule="auto"/>
      </w:pPr>
      <w:r>
        <w:separator/>
      </w:r>
    </w:p>
  </w:footnote>
  <w:footnote w:type="continuationSeparator" w:id="0">
    <w:p w14:paraId="77A5469A" w14:textId="77777777" w:rsidR="00000CA0" w:rsidRDefault="00000CA0" w:rsidP="00455A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E346C" w14:textId="77777777" w:rsidR="00000CA0" w:rsidRDefault="00000CA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C2616" w14:textId="77777777" w:rsidR="00000CA0" w:rsidRDefault="00000CA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456CD" w14:textId="77777777" w:rsidR="00000CA0" w:rsidRDefault="00000CA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9426CB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5856347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8A73FC"/>
    <w:multiLevelType w:val="multilevel"/>
    <w:tmpl w:val="03EE3726"/>
    <w:name w:val="Numrub"/>
    <w:styleLink w:val="Numreraderubriker"/>
    <w:lvl w:ilvl="0">
      <w:start w:val="1"/>
      <w:numFmt w:val="decimal"/>
      <w:pStyle w:val="Rubrik1numrerad"/>
      <w:lvlText w:val="%1"/>
      <w:lvlJc w:val="left"/>
      <w:pPr>
        <w:tabs>
          <w:tab w:val="num" w:pos="567"/>
        </w:tabs>
        <w:ind w:left="0" w:hanging="680"/>
      </w:pPr>
      <w:rPr>
        <w:rFonts w:hint="default"/>
      </w:rPr>
    </w:lvl>
    <w:lvl w:ilvl="1">
      <w:start w:val="1"/>
      <w:numFmt w:val="decimal"/>
      <w:pStyle w:val="Rubrik2numrerad"/>
      <w:lvlText w:val="%1.%2"/>
      <w:lvlJc w:val="left"/>
      <w:pPr>
        <w:ind w:left="0" w:hanging="680"/>
      </w:pPr>
      <w:rPr>
        <w:rFonts w:hint="default"/>
      </w:rPr>
    </w:lvl>
    <w:lvl w:ilvl="2">
      <w:start w:val="1"/>
      <w:numFmt w:val="decimal"/>
      <w:pStyle w:val="Rubrik3numrerad"/>
      <w:lvlText w:val="%1.%2.%3"/>
      <w:lvlJc w:val="left"/>
      <w:pPr>
        <w:ind w:left="0" w:hanging="680"/>
      </w:pPr>
      <w:rPr>
        <w:rFonts w:hint="default"/>
      </w:rPr>
    </w:lvl>
    <w:lvl w:ilvl="3">
      <w:start w:val="1"/>
      <w:numFmt w:val="decimal"/>
      <w:pStyle w:val="Rubrik4numrerad"/>
      <w:suff w:val="space"/>
      <w:lvlText w:val="%1.%2.%3.%4"/>
      <w:lvlJc w:val="left"/>
      <w:pPr>
        <w:ind w:left="0" w:firstLine="0"/>
      </w:pPr>
      <w:rPr>
        <w:rFonts w:hint="default"/>
      </w:rPr>
    </w:lvl>
    <w:lvl w:ilvl="4">
      <w:start w:val="1"/>
      <w:numFmt w:val="decimal"/>
      <w:pStyle w:val="Rubrik5numrerad"/>
      <w:suff w:val="space"/>
      <w:lvlText w:val="%1.%2.%3.%4.%5"/>
      <w:lvlJc w:val="left"/>
      <w:pPr>
        <w:ind w:left="0" w:firstLine="0"/>
      </w:pPr>
      <w:rPr>
        <w:rFonts w:hint="default"/>
      </w:rPr>
    </w:lvl>
    <w:lvl w:ilvl="5">
      <w:start w:val="1"/>
      <w:numFmt w:val="decimal"/>
      <w:pStyle w:val="Rubrik6numrerad"/>
      <w:suff w:val="space"/>
      <w:lvlText w:val="%1.%2.%3.%4.%5.%6"/>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210A3F4E"/>
    <w:multiLevelType w:val="multilevel"/>
    <w:tmpl w:val="E528D408"/>
    <w:name w:val="JordPunkt"/>
    <w:styleLink w:val="Jordpunkter"/>
    <w:lvl w:ilvl="0">
      <w:start w:val="1"/>
      <w:numFmt w:val="bullet"/>
      <w:pStyle w:val="Punktlista"/>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none"/>
      <w:lvlText w:val=""/>
      <w:lvlJc w:val="left"/>
      <w:pPr>
        <w:tabs>
          <w:tab w:val="num" w:pos="2268"/>
        </w:tabs>
        <w:ind w:left="2268"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42B02978"/>
    <w:multiLevelType w:val="multilevel"/>
    <w:tmpl w:val="460C98DC"/>
    <w:name w:val="JordNum"/>
    <w:styleLink w:val="Jordnummer"/>
    <w:lvl w:ilvl="0">
      <w:start w:val="1"/>
      <w:numFmt w:val="decimal"/>
      <w:pStyle w:val="Numreradlista"/>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none"/>
      <w:lvlText w:val=""/>
      <w:lvlJc w:val="left"/>
      <w:pPr>
        <w:tabs>
          <w:tab w:val="num" w:pos="2268"/>
        </w:tabs>
        <w:ind w:left="2268"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76126585"/>
    <w:multiLevelType w:val="hybridMultilevel"/>
    <w:tmpl w:val="E630567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1304"/>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CA0"/>
    <w:rsid w:val="00000CA0"/>
    <w:rsid w:val="000321DC"/>
    <w:rsid w:val="00080166"/>
    <w:rsid w:val="00090EB3"/>
    <w:rsid w:val="00091EBB"/>
    <w:rsid w:val="000D28CD"/>
    <w:rsid w:val="000D3F64"/>
    <w:rsid w:val="00122F1D"/>
    <w:rsid w:val="00124972"/>
    <w:rsid w:val="00163AC6"/>
    <w:rsid w:val="00170E96"/>
    <w:rsid w:val="00197B23"/>
    <w:rsid w:val="001A3234"/>
    <w:rsid w:val="001A75A5"/>
    <w:rsid w:val="001C0B9A"/>
    <w:rsid w:val="00226143"/>
    <w:rsid w:val="002439D6"/>
    <w:rsid w:val="002614A0"/>
    <w:rsid w:val="002649EC"/>
    <w:rsid w:val="00267312"/>
    <w:rsid w:val="00273B6A"/>
    <w:rsid w:val="002A6656"/>
    <w:rsid w:val="002A7115"/>
    <w:rsid w:val="002B0582"/>
    <w:rsid w:val="002B1082"/>
    <w:rsid w:val="002C1634"/>
    <w:rsid w:val="002D0192"/>
    <w:rsid w:val="002D1851"/>
    <w:rsid w:val="002E55D5"/>
    <w:rsid w:val="00321617"/>
    <w:rsid w:val="00324FA7"/>
    <w:rsid w:val="003475F1"/>
    <w:rsid w:val="003958C2"/>
    <w:rsid w:val="00397A20"/>
    <w:rsid w:val="003B46F2"/>
    <w:rsid w:val="003C36EC"/>
    <w:rsid w:val="00432C5C"/>
    <w:rsid w:val="00436D0F"/>
    <w:rsid w:val="004414B0"/>
    <w:rsid w:val="00455A35"/>
    <w:rsid w:val="00490878"/>
    <w:rsid w:val="00496073"/>
    <w:rsid w:val="004A3F62"/>
    <w:rsid w:val="004C4BD5"/>
    <w:rsid w:val="004D16B8"/>
    <w:rsid w:val="004D7D5D"/>
    <w:rsid w:val="005106DB"/>
    <w:rsid w:val="00516478"/>
    <w:rsid w:val="00545653"/>
    <w:rsid w:val="005668B7"/>
    <w:rsid w:val="005956ED"/>
    <w:rsid w:val="005B7BCC"/>
    <w:rsid w:val="005C05D7"/>
    <w:rsid w:val="005D055A"/>
    <w:rsid w:val="005E77AE"/>
    <w:rsid w:val="0060046E"/>
    <w:rsid w:val="0061645F"/>
    <w:rsid w:val="0061716B"/>
    <w:rsid w:val="00643F05"/>
    <w:rsid w:val="006676DC"/>
    <w:rsid w:val="00674C86"/>
    <w:rsid w:val="006B30F9"/>
    <w:rsid w:val="006D236A"/>
    <w:rsid w:val="00706B26"/>
    <w:rsid w:val="00725CB3"/>
    <w:rsid w:val="00735FF4"/>
    <w:rsid w:val="00736432"/>
    <w:rsid w:val="00743E83"/>
    <w:rsid w:val="00746BC1"/>
    <w:rsid w:val="00751157"/>
    <w:rsid w:val="00764812"/>
    <w:rsid w:val="00767C8F"/>
    <w:rsid w:val="007C6ECA"/>
    <w:rsid w:val="007D04F1"/>
    <w:rsid w:val="007D7E85"/>
    <w:rsid w:val="008039E2"/>
    <w:rsid w:val="0083458F"/>
    <w:rsid w:val="00842ED3"/>
    <w:rsid w:val="00866B78"/>
    <w:rsid w:val="00876E0B"/>
    <w:rsid w:val="008921A6"/>
    <w:rsid w:val="00893F20"/>
    <w:rsid w:val="008A7565"/>
    <w:rsid w:val="008D5F95"/>
    <w:rsid w:val="008D7A4A"/>
    <w:rsid w:val="008E5A31"/>
    <w:rsid w:val="0090146E"/>
    <w:rsid w:val="009555EE"/>
    <w:rsid w:val="0096424A"/>
    <w:rsid w:val="00972EFB"/>
    <w:rsid w:val="009A6FCA"/>
    <w:rsid w:val="009A7953"/>
    <w:rsid w:val="009B79B8"/>
    <w:rsid w:val="009D2CA8"/>
    <w:rsid w:val="009D3E61"/>
    <w:rsid w:val="009F1B2E"/>
    <w:rsid w:val="00A01CF9"/>
    <w:rsid w:val="00A21CE8"/>
    <w:rsid w:val="00A40E1C"/>
    <w:rsid w:val="00A72789"/>
    <w:rsid w:val="00AA6F30"/>
    <w:rsid w:val="00AC1153"/>
    <w:rsid w:val="00B02005"/>
    <w:rsid w:val="00B050D3"/>
    <w:rsid w:val="00B173D8"/>
    <w:rsid w:val="00B22F79"/>
    <w:rsid w:val="00B32391"/>
    <w:rsid w:val="00B43193"/>
    <w:rsid w:val="00B46FF6"/>
    <w:rsid w:val="00B51C42"/>
    <w:rsid w:val="00B6325B"/>
    <w:rsid w:val="00B6513A"/>
    <w:rsid w:val="00B83147"/>
    <w:rsid w:val="00B846F0"/>
    <w:rsid w:val="00B90B61"/>
    <w:rsid w:val="00B922CB"/>
    <w:rsid w:val="00BA788B"/>
    <w:rsid w:val="00BB07FE"/>
    <w:rsid w:val="00BC4204"/>
    <w:rsid w:val="00BC6188"/>
    <w:rsid w:val="00BD3292"/>
    <w:rsid w:val="00BF3589"/>
    <w:rsid w:val="00C40A6B"/>
    <w:rsid w:val="00C4433D"/>
    <w:rsid w:val="00C60851"/>
    <w:rsid w:val="00C721F1"/>
    <w:rsid w:val="00C761B5"/>
    <w:rsid w:val="00C77BE3"/>
    <w:rsid w:val="00C824B9"/>
    <w:rsid w:val="00CA0B33"/>
    <w:rsid w:val="00CA7142"/>
    <w:rsid w:val="00CC2C31"/>
    <w:rsid w:val="00CE0FF7"/>
    <w:rsid w:val="00CE3EA9"/>
    <w:rsid w:val="00CE66EE"/>
    <w:rsid w:val="00D04FCB"/>
    <w:rsid w:val="00D1091E"/>
    <w:rsid w:val="00D11CF8"/>
    <w:rsid w:val="00D14EDE"/>
    <w:rsid w:val="00D5612C"/>
    <w:rsid w:val="00D63D96"/>
    <w:rsid w:val="00D72FA9"/>
    <w:rsid w:val="00D7598E"/>
    <w:rsid w:val="00DB2738"/>
    <w:rsid w:val="00DC1625"/>
    <w:rsid w:val="00DC7ABF"/>
    <w:rsid w:val="00DF372E"/>
    <w:rsid w:val="00E04591"/>
    <w:rsid w:val="00E1071C"/>
    <w:rsid w:val="00E15286"/>
    <w:rsid w:val="00E1668B"/>
    <w:rsid w:val="00E3057C"/>
    <w:rsid w:val="00E33F7E"/>
    <w:rsid w:val="00E37E9C"/>
    <w:rsid w:val="00E43F15"/>
    <w:rsid w:val="00E458B7"/>
    <w:rsid w:val="00E5181E"/>
    <w:rsid w:val="00E731DE"/>
    <w:rsid w:val="00E777F1"/>
    <w:rsid w:val="00EA7969"/>
    <w:rsid w:val="00EC2741"/>
    <w:rsid w:val="00ED0DC6"/>
    <w:rsid w:val="00EE3C69"/>
    <w:rsid w:val="00F10DB8"/>
    <w:rsid w:val="00F26E1D"/>
    <w:rsid w:val="00F31B16"/>
    <w:rsid w:val="00F432D9"/>
    <w:rsid w:val="00F5391A"/>
    <w:rsid w:val="00F92989"/>
    <w:rsid w:val="00F974BB"/>
    <w:rsid w:val="00FB0ACB"/>
    <w:rsid w:val="00FB1496"/>
    <w:rsid w:val="00FB365A"/>
    <w:rsid w:val="00FC5C2D"/>
    <w:rsid w:val="00FD5E10"/>
    <w:rsid w:val="00FF42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3B8A77D6"/>
  <w15:chartTrackingRefBased/>
  <w15:docId w15:val="{AA6B2A83-91C9-436E-8838-7EB5249C4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uiPriority="14"/>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4" w:qFormat="1"/>
    <w:lsdException w:name="List Number" w:uiPriority="14"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1851"/>
  </w:style>
  <w:style w:type="paragraph" w:styleId="Rubrik1">
    <w:name w:val="heading 1"/>
    <w:basedOn w:val="Normal"/>
    <w:next w:val="Normal"/>
    <w:link w:val="Rubrik1Char"/>
    <w:uiPriority w:val="9"/>
    <w:qFormat/>
    <w:rsid w:val="008E5A31"/>
    <w:pPr>
      <w:keepNext/>
      <w:keepLines/>
      <w:spacing w:before="260" w:after="40"/>
      <w:outlineLvl w:val="0"/>
    </w:pPr>
    <w:rPr>
      <w:rFonts w:asciiTheme="majorHAnsi" w:eastAsiaTheme="majorEastAsia" w:hAnsiTheme="majorHAnsi" w:cstheme="majorBidi"/>
      <w:sz w:val="32"/>
      <w:szCs w:val="32"/>
    </w:rPr>
  </w:style>
  <w:style w:type="paragraph" w:styleId="Rubrik2">
    <w:name w:val="heading 2"/>
    <w:basedOn w:val="Normal"/>
    <w:next w:val="Normal"/>
    <w:link w:val="Rubrik2Char"/>
    <w:uiPriority w:val="9"/>
    <w:qFormat/>
    <w:rsid w:val="00397A20"/>
    <w:pPr>
      <w:keepNext/>
      <w:keepLines/>
      <w:spacing w:before="260" w:after="40"/>
      <w:outlineLvl w:val="1"/>
    </w:pPr>
    <w:rPr>
      <w:rFonts w:asciiTheme="majorHAnsi" w:eastAsiaTheme="majorEastAsia" w:hAnsiTheme="majorHAnsi" w:cstheme="majorBidi"/>
      <w:b/>
      <w:szCs w:val="30"/>
    </w:rPr>
  </w:style>
  <w:style w:type="paragraph" w:styleId="Rubrik3">
    <w:name w:val="heading 3"/>
    <w:basedOn w:val="Normal"/>
    <w:next w:val="Normal"/>
    <w:link w:val="Rubrik3Char"/>
    <w:uiPriority w:val="9"/>
    <w:qFormat/>
    <w:rsid w:val="00397A20"/>
    <w:pPr>
      <w:keepNext/>
      <w:keepLines/>
      <w:spacing w:before="260" w:after="40"/>
      <w:outlineLvl w:val="2"/>
    </w:pPr>
    <w:rPr>
      <w:rFonts w:asciiTheme="majorHAnsi" w:eastAsiaTheme="majorEastAsia" w:hAnsiTheme="majorHAnsi" w:cstheme="majorBidi"/>
      <w:bCs/>
    </w:rPr>
  </w:style>
  <w:style w:type="paragraph" w:styleId="Rubrik4">
    <w:name w:val="heading 4"/>
    <w:basedOn w:val="Rubrik3"/>
    <w:next w:val="Normal"/>
    <w:link w:val="Rubrik4Char"/>
    <w:uiPriority w:val="9"/>
    <w:semiHidden/>
    <w:qFormat/>
    <w:rsid w:val="00397A20"/>
    <w:pPr>
      <w:outlineLvl w:val="3"/>
    </w:pPr>
  </w:style>
  <w:style w:type="paragraph" w:styleId="Rubrik5">
    <w:name w:val="heading 5"/>
    <w:basedOn w:val="Rubrik4"/>
    <w:next w:val="Normal"/>
    <w:link w:val="Rubrik5Char"/>
    <w:uiPriority w:val="9"/>
    <w:semiHidden/>
    <w:qFormat/>
    <w:rsid w:val="008E5A31"/>
    <w:pPr>
      <w:outlineLvl w:val="4"/>
    </w:pPr>
    <w:rPr>
      <w:b/>
      <w:bCs w:val="0"/>
    </w:rPr>
  </w:style>
  <w:style w:type="paragraph" w:styleId="Rubrik6">
    <w:name w:val="heading 6"/>
    <w:basedOn w:val="Rubrik4"/>
    <w:next w:val="Normal"/>
    <w:link w:val="Rubrik6Char"/>
    <w:uiPriority w:val="9"/>
    <w:semiHidden/>
    <w:qFormat/>
    <w:rsid w:val="008E5A31"/>
    <w:pPr>
      <w:outlineLvl w:val="5"/>
    </w:pPr>
    <w:rPr>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E5A31"/>
    <w:rPr>
      <w:rFonts w:asciiTheme="majorHAnsi" w:eastAsiaTheme="majorEastAsia" w:hAnsiTheme="majorHAnsi" w:cstheme="majorBidi"/>
      <w:sz w:val="32"/>
      <w:szCs w:val="32"/>
    </w:rPr>
  </w:style>
  <w:style w:type="character" w:customStyle="1" w:styleId="Rubrik2Char">
    <w:name w:val="Rubrik 2 Char"/>
    <w:basedOn w:val="Standardstycketeckensnitt"/>
    <w:link w:val="Rubrik2"/>
    <w:uiPriority w:val="9"/>
    <w:rsid w:val="00397A20"/>
    <w:rPr>
      <w:rFonts w:asciiTheme="majorHAnsi" w:eastAsiaTheme="majorEastAsia" w:hAnsiTheme="majorHAnsi" w:cstheme="majorBidi"/>
      <w:b/>
      <w:szCs w:val="30"/>
    </w:rPr>
  </w:style>
  <w:style w:type="character" w:styleId="Starkbetoning">
    <w:name w:val="Intense Emphasis"/>
    <w:basedOn w:val="Standardstycketeckensnitt"/>
    <w:uiPriority w:val="21"/>
    <w:semiHidden/>
    <w:qFormat/>
    <w:rsid w:val="009D2CA8"/>
    <w:rPr>
      <w:i/>
      <w:iCs/>
      <w:color w:val="auto"/>
    </w:rPr>
  </w:style>
  <w:style w:type="paragraph" w:styleId="Starktcitat">
    <w:name w:val="Intense Quote"/>
    <w:basedOn w:val="Normal"/>
    <w:next w:val="Normal"/>
    <w:link w:val="StarktcitatChar"/>
    <w:uiPriority w:val="30"/>
    <w:semiHidden/>
    <w:qFormat/>
    <w:rsid w:val="009D2CA8"/>
    <w:pPr>
      <w:pBdr>
        <w:top w:val="single" w:sz="4" w:space="10" w:color="84BD00" w:themeColor="accent1"/>
        <w:bottom w:val="single" w:sz="4" w:space="10" w:color="84BD00" w:themeColor="accent1"/>
      </w:pBdr>
      <w:spacing w:before="360" w:after="360"/>
      <w:ind w:left="864" w:right="864"/>
      <w:jc w:val="center"/>
    </w:pPr>
    <w:rPr>
      <w:i/>
      <w:iCs/>
    </w:rPr>
  </w:style>
  <w:style w:type="character" w:customStyle="1" w:styleId="StarktcitatChar">
    <w:name w:val="Starkt citat Char"/>
    <w:basedOn w:val="Standardstycketeckensnitt"/>
    <w:link w:val="Starktcitat"/>
    <w:uiPriority w:val="30"/>
    <w:semiHidden/>
    <w:rsid w:val="009D2CA8"/>
    <w:rPr>
      <w:i/>
      <w:iCs/>
    </w:rPr>
  </w:style>
  <w:style w:type="character" w:styleId="Starkreferens">
    <w:name w:val="Intense Reference"/>
    <w:basedOn w:val="Standardstycketeckensnitt"/>
    <w:uiPriority w:val="32"/>
    <w:semiHidden/>
    <w:qFormat/>
    <w:rsid w:val="009D2CA8"/>
    <w:rPr>
      <w:b/>
      <w:bCs/>
      <w:smallCaps/>
      <w:color w:val="auto"/>
      <w:spacing w:val="5"/>
    </w:rPr>
  </w:style>
  <w:style w:type="character" w:customStyle="1" w:styleId="Rubrik4Char">
    <w:name w:val="Rubrik 4 Char"/>
    <w:basedOn w:val="Standardstycketeckensnitt"/>
    <w:link w:val="Rubrik4"/>
    <w:uiPriority w:val="9"/>
    <w:semiHidden/>
    <w:rsid w:val="00397A20"/>
    <w:rPr>
      <w:rFonts w:asciiTheme="majorHAnsi" w:eastAsiaTheme="majorEastAsia" w:hAnsiTheme="majorHAnsi" w:cstheme="majorBidi"/>
      <w:bCs/>
    </w:rPr>
  </w:style>
  <w:style w:type="paragraph" w:styleId="Sidhuvud">
    <w:name w:val="header"/>
    <w:basedOn w:val="Normal"/>
    <w:link w:val="SidhuvudChar"/>
    <w:uiPriority w:val="15"/>
    <w:semiHidden/>
    <w:rsid w:val="00746BC1"/>
    <w:pPr>
      <w:tabs>
        <w:tab w:val="center" w:pos="4536"/>
        <w:tab w:val="right" w:pos="9072"/>
      </w:tabs>
      <w:spacing w:after="0" w:line="240" w:lineRule="auto"/>
      <w:ind w:right="-992"/>
      <w:jc w:val="right"/>
    </w:pPr>
    <w:rPr>
      <w:rFonts w:asciiTheme="majorHAnsi" w:hAnsiTheme="majorHAnsi"/>
      <w:sz w:val="18"/>
    </w:rPr>
  </w:style>
  <w:style w:type="character" w:customStyle="1" w:styleId="SidhuvudChar">
    <w:name w:val="Sidhuvud Char"/>
    <w:basedOn w:val="Standardstycketeckensnitt"/>
    <w:link w:val="Sidhuvud"/>
    <w:uiPriority w:val="15"/>
    <w:semiHidden/>
    <w:rsid w:val="0083458F"/>
    <w:rPr>
      <w:rFonts w:asciiTheme="majorHAnsi" w:hAnsiTheme="majorHAnsi"/>
      <w:sz w:val="18"/>
    </w:rPr>
  </w:style>
  <w:style w:type="paragraph" w:styleId="Sidfot">
    <w:name w:val="footer"/>
    <w:basedOn w:val="Normal"/>
    <w:link w:val="SidfotChar"/>
    <w:uiPriority w:val="15"/>
    <w:semiHidden/>
    <w:rsid w:val="00746BC1"/>
    <w:pPr>
      <w:tabs>
        <w:tab w:val="center" w:pos="4536"/>
        <w:tab w:val="right" w:pos="9072"/>
      </w:tabs>
      <w:spacing w:after="0" w:line="240" w:lineRule="auto"/>
      <w:ind w:right="-992"/>
      <w:jc w:val="right"/>
    </w:pPr>
    <w:rPr>
      <w:rFonts w:asciiTheme="majorHAnsi" w:hAnsiTheme="majorHAnsi"/>
      <w:sz w:val="16"/>
    </w:rPr>
  </w:style>
  <w:style w:type="character" w:customStyle="1" w:styleId="SidfotChar">
    <w:name w:val="Sidfot Char"/>
    <w:basedOn w:val="Standardstycketeckensnitt"/>
    <w:link w:val="Sidfot"/>
    <w:uiPriority w:val="15"/>
    <w:semiHidden/>
    <w:rsid w:val="0083458F"/>
    <w:rPr>
      <w:rFonts w:asciiTheme="majorHAnsi" w:hAnsiTheme="majorHAnsi"/>
      <w:sz w:val="16"/>
    </w:rPr>
  </w:style>
  <w:style w:type="paragraph" w:styleId="Ingetavstnd">
    <w:name w:val="No Spacing"/>
    <w:uiPriority w:val="1"/>
    <w:semiHidden/>
    <w:qFormat/>
    <w:rsid w:val="00455A35"/>
    <w:pPr>
      <w:spacing w:after="0" w:line="240" w:lineRule="auto"/>
    </w:pPr>
  </w:style>
  <w:style w:type="character" w:customStyle="1" w:styleId="Rubrik3Char">
    <w:name w:val="Rubrik 3 Char"/>
    <w:basedOn w:val="Standardstycketeckensnitt"/>
    <w:link w:val="Rubrik3"/>
    <w:uiPriority w:val="9"/>
    <w:rsid w:val="00397A20"/>
    <w:rPr>
      <w:rFonts w:asciiTheme="majorHAnsi" w:eastAsiaTheme="majorEastAsia" w:hAnsiTheme="majorHAnsi" w:cstheme="majorBidi"/>
      <w:bCs/>
    </w:rPr>
  </w:style>
  <w:style w:type="numbering" w:customStyle="1" w:styleId="Jordnummer">
    <w:name w:val="Jordnummer"/>
    <w:uiPriority w:val="99"/>
    <w:rsid w:val="00C77BE3"/>
    <w:pPr>
      <w:numPr>
        <w:numId w:val="3"/>
      </w:numPr>
    </w:pPr>
  </w:style>
  <w:style w:type="numbering" w:customStyle="1" w:styleId="Jordpunkter">
    <w:name w:val="Jordpunkter"/>
    <w:uiPriority w:val="99"/>
    <w:rsid w:val="00D04FCB"/>
    <w:pPr>
      <w:numPr>
        <w:numId w:val="4"/>
      </w:numPr>
    </w:pPr>
  </w:style>
  <w:style w:type="paragraph" w:styleId="Numreradlista">
    <w:name w:val="List Number"/>
    <w:basedOn w:val="Normal"/>
    <w:uiPriority w:val="13"/>
    <w:qFormat/>
    <w:rsid w:val="001A75A5"/>
    <w:pPr>
      <w:numPr>
        <w:numId w:val="3"/>
      </w:numPr>
      <w:spacing w:after="80"/>
      <w:ind w:left="357" w:hanging="357"/>
    </w:pPr>
  </w:style>
  <w:style w:type="paragraph" w:customStyle="1" w:styleId="Normalefterlistaochtabell">
    <w:name w:val="Normal efter lista och tabell"/>
    <w:basedOn w:val="Normal"/>
    <w:next w:val="Normal"/>
    <w:uiPriority w:val="1"/>
    <w:qFormat/>
    <w:rsid w:val="001A75A5"/>
    <w:pPr>
      <w:spacing w:before="240"/>
    </w:pPr>
  </w:style>
  <w:style w:type="paragraph" w:styleId="Punktlista">
    <w:name w:val="List Bullet"/>
    <w:basedOn w:val="Normal"/>
    <w:uiPriority w:val="13"/>
    <w:qFormat/>
    <w:rsid w:val="001A75A5"/>
    <w:pPr>
      <w:numPr>
        <w:numId w:val="4"/>
      </w:numPr>
      <w:spacing w:after="80"/>
      <w:ind w:left="357" w:hanging="357"/>
    </w:pPr>
  </w:style>
  <w:style w:type="character" w:styleId="Platshllartext">
    <w:name w:val="Placeholder Text"/>
    <w:basedOn w:val="Standardstycketeckensnitt"/>
    <w:uiPriority w:val="99"/>
    <w:semiHidden/>
    <w:rsid w:val="00B173D8"/>
    <w:rPr>
      <w:color w:val="808080"/>
    </w:rPr>
  </w:style>
  <w:style w:type="table" w:styleId="Tabellrutnt">
    <w:name w:val="Table Grid"/>
    <w:basedOn w:val="Normaltabell"/>
    <w:uiPriority w:val="39"/>
    <w:rsid w:val="00D63D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2D0192"/>
    <w:pPr>
      <w:spacing w:after="60" w:line="264" w:lineRule="auto"/>
    </w:pPr>
    <w:rPr>
      <w:sz w:val="19"/>
      <w:szCs w:val="20"/>
    </w:rPr>
  </w:style>
  <w:style w:type="character" w:customStyle="1" w:styleId="FotnotstextChar">
    <w:name w:val="Fotnotstext Char"/>
    <w:basedOn w:val="Standardstycketeckensnitt"/>
    <w:link w:val="Fotnotstext"/>
    <w:uiPriority w:val="99"/>
    <w:semiHidden/>
    <w:rsid w:val="002C1634"/>
    <w:rPr>
      <w:sz w:val="19"/>
      <w:szCs w:val="20"/>
    </w:rPr>
  </w:style>
  <w:style w:type="character" w:customStyle="1" w:styleId="Rubrik5Char">
    <w:name w:val="Rubrik 5 Char"/>
    <w:basedOn w:val="Standardstycketeckensnitt"/>
    <w:link w:val="Rubrik5"/>
    <w:uiPriority w:val="9"/>
    <w:semiHidden/>
    <w:rsid w:val="00397A20"/>
    <w:rPr>
      <w:rFonts w:asciiTheme="majorHAnsi" w:eastAsiaTheme="majorEastAsia" w:hAnsiTheme="majorHAnsi" w:cstheme="majorBidi"/>
      <w:b/>
    </w:rPr>
  </w:style>
  <w:style w:type="character" w:customStyle="1" w:styleId="Rubrik6Char">
    <w:name w:val="Rubrik 6 Char"/>
    <w:basedOn w:val="Standardstycketeckensnitt"/>
    <w:link w:val="Rubrik6"/>
    <w:uiPriority w:val="9"/>
    <w:semiHidden/>
    <w:rsid w:val="00397A20"/>
    <w:rPr>
      <w:rFonts w:asciiTheme="majorHAnsi" w:eastAsiaTheme="majorEastAsia" w:hAnsiTheme="majorHAnsi" w:cstheme="majorBidi"/>
      <w:bCs/>
      <w:sz w:val="20"/>
      <w:szCs w:val="20"/>
    </w:rPr>
  </w:style>
  <w:style w:type="paragraph" w:styleId="Rubrik">
    <w:name w:val="Title"/>
    <w:basedOn w:val="Rubrik1"/>
    <w:next w:val="Normal"/>
    <w:link w:val="RubrikChar"/>
    <w:uiPriority w:val="10"/>
    <w:semiHidden/>
    <w:qFormat/>
    <w:rsid w:val="00436D0F"/>
    <w:pPr>
      <w:spacing w:after="260"/>
    </w:pPr>
    <w:rPr>
      <w:b/>
      <w:bCs/>
      <w:sz w:val="36"/>
      <w:szCs w:val="36"/>
    </w:rPr>
  </w:style>
  <w:style w:type="character" w:customStyle="1" w:styleId="RubrikChar">
    <w:name w:val="Rubrik Char"/>
    <w:basedOn w:val="Standardstycketeckensnitt"/>
    <w:link w:val="Rubrik"/>
    <w:uiPriority w:val="10"/>
    <w:semiHidden/>
    <w:rsid w:val="0083458F"/>
    <w:rPr>
      <w:rFonts w:asciiTheme="majorHAnsi" w:eastAsiaTheme="majorEastAsia" w:hAnsiTheme="majorHAnsi" w:cstheme="majorBidi"/>
      <w:b/>
      <w:bCs/>
      <w:sz w:val="36"/>
      <w:szCs w:val="36"/>
    </w:rPr>
  </w:style>
  <w:style w:type="paragraph" w:customStyle="1" w:styleId="Rubrik1numrerad">
    <w:name w:val="Rubrik 1 numrerad"/>
    <w:basedOn w:val="Rubrik1"/>
    <w:semiHidden/>
    <w:qFormat/>
    <w:rsid w:val="008E5A31"/>
    <w:pPr>
      <w:numPr>
        <w:numId w:val="5"/>
      </w:numPr>
    </w:pPr>
  </w:style>
  <w:style w:type="paragraph" w:customStyle="1" w:styleId="Rubrik2numrerad">
    <w:name w:val="Rubrik 2 numrerad"/>
    <w:basedOn w:val="Rubrik2"/>
    <w:semiHidden/>
    <w:qFormat/>
    <w:rsid w:val="008E5A31"/>
    <w:pPr>
      <w:numPr>
        <w:ilvl w:val="1"/>
        <w:numId w:val="5"/>
      </w:numPr>
    </w:pPr>
  </w:style>
  <w:style w:type="paragraph" w:customStyle="1" w:styleId="Rubrik3numrerad">
    <w:name w:val="Rubrik 3 numrerad"/>
    <w:basedOn w:val="Rubrik3"/>
    <w:semiHidden/>
    <w:qFormat/>
    <w:rsid w:val="008E5A31"/>
    <w:pPr>
      <w:numPr>
        <w:ilvl w:val="2"/>
        <w:numId w:val="5"/>
      </w:numPr>
    </w:pPr>
  </w:style>
  <w:style w:type="paragraph" w:customStyle="1" w:styleId="Rubrik4numrerad">
    <w:name w:val="Rubrik 4 numrerad"/>
    <w:basedOn w:val="Rubrik4"/>
    <w:semiHidden/>
    <w:qFormat/>
    <w:rsid w:val="008E5A31"/>
    <w:pPr>
      <w:numPr>
        <w:ilvl w:val="3"/>
        <w:numId w:val="5"/>
      </w:numPr>
    </w:pPr>
  </w:style>
  <w:style w:type="paragraph" w:customStyle="1" w:styleId="Rubrik5numrerad">
    <w:name w:val="Rubrik 5 numrerad"/>
    <w:basedOn w:val="Rubrik5"/>
    <w:semiHidden/>
    <w:qFormat/>
    <w:rsid w:val="008E5A31"/>
    <w:pPr>
      <w:numPr>
        <w:ilvl w:val="4"/>
        <w:numId w:val="5"/>
      </w:numPr>
    </w:pPr>
  </w:style>
  <w:style w:type="paragraph" w:customStyle="1" w:styleId="Rubrik6numrerad">
    <w:name w:val="Rubrik 6 numrerad"/>
    <w:basedOn w:val="Rubrik6"/>
    <w:semiHidden/>
    <w:qFormat/>
    <w:rsid w:val="008E5A31"/>
    <w:pPr>
      <w:numPr>
        <w:ilvl w:val="5"/>
        <w:numId w:val="5"/>
      </w:numPr>
    </w:pPr>
  </w:style>
  <w:style w:type="numbering" w:customStyle="1" w:styleId="Numreraderubriker">
    <w:name w:val="Numrerade rubriker"/>
    <w:uiPriority w:val="99"/>
    <w:rsid w:val="008E5A31"/>
    <w:pPr>
      <w:numPr>
        <w:numId w:val="5"/>
      </w:numPr>
    </w:pPr>
  </w:style>
  <w:style w:type="character" w:styleId="Hyperlnk">
    <w:name w:val="Hyperlink"/>
    <w:basedOn w:val="Standardstycketeckensnitt"/>
    <w:uiPriority w:val="99"/>
    <w:semiHidden/>
    <w:rsid w:val="002D1851"/>
    <w:rPr>
      <w:color w:val="17618C"/>
      <w:u w:val="single"/>
    </w:rPr>
  </w:style>
  <w:style w:type="character" w:styleId="Olstomnmnande">
    <w:name w:val="Unresolved Mention"/>
    <w:basedOn w:val="Standardstycketeckensnitt"/>
    <w:uiPriority w:val="99"/>
    <w:semiHidden/>
    <w:unhideWhenUsed/>
    <w:rsid w:val="005B7BCC"/>
    <w:rPr>
      <w:color w:val="605E5C"/>
      <w:shd w:val="clear" w:color="auto" w:fill="E1DFDD"/>
    </w:rPr>
  </w:style>
  <w:style w:type="paragraph" w:customStyle="1" w:styleId="Infoisidhuvud">
    <w:name w:val="Info i sidhuvud"/>
    <w:basedOn w:val="Ingetavstnd"/>
    <w:uiPriority w:val="16"/>
    <w:semiHidden/>
    <w:qFormat/>
    <w:rsid w:val="005B7BCC"/>
    <w:pPr>
      <w:ind w:left="4536"/>
    </w:pPr>
    <w:rPr>
      <w:rFonts w:asciiTheme="majorHAnsi" w:hAnsiTheme="majorHAnsi" w:cstheme="majorHAnsi"/>
      <w:sz w:val="18"/>
      <w:szCs w:val="18"/>
    </w:rPr>
  </w:style>
  <w:style w:type="paragraph" w:customStyle="1" w:styleId="Avsndaremottagare">
    <w:name w:val="Avsändare mottagare"/>
    <w:basedOn w:val="Ingetavstnd"/>
    <w:uiPriority w:val="16"/>
    <w:semiHidden/>
    <w:qFormat/>
    <w:rsid w:val="005B7BCC"/>
    <w:pPr>
      <w:spacing w:after="40"/>
    </w:pPr>
    <w:rPr>
      <w:rFonts w:asciiTheme="majorHAnsi" w:hAnsiTheme="majorHAnsi" w:cstheme="majorHAnsi"/>
      <w:sz w:val="18"/>
      <w:szCs w:val="18"/>
    </w:rPr>
  </w:style>
  <w:style w:type="paragraph" w:styleId="Ballongtext">
    <w:name w:val="Balloon Text"/>
    <w:basedOn w:val="Normal"/>
    <w:link w:val="BallongtextChar"/>
    <w:uiPriority w:val="99"/>
    <w:semiHidden/>
    <w:unhideWhenUsed/>
    <w:rsid w:val="00197B23"/>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197B23"/>
    <w:rPr>
      <w:rFonts w:ascii="Segoe UI" w:hAnsi="Segoe UI" w:cs="Segoe UI"/>
      <w:sz w:val="18"/>
      <w:szCs w:val="18"/>
    </w:rPr>
  </w:style>
  <w:style w:type="table" w:customStyle="1" w:styleId="SJVtabellenkel">
    <w:name w:val="SJV tabell enkel"/>
    <w:basedOn w:val="Normaltabell"/>
    <w:uiPriority w:val="99"/>
    <w:rsid w:val="00197B23"/>
    <w:pPr>
      <w:spacing w:before="40" w:after="40" w:line="240" w:lineRule="auto"/>
    </w:pPr>
    <w:rPr>
      <w:rFonts w:asciiTheme="majorHAnsi" w:hAnsiTheme="majorHAnsi"/>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Pr>
    <w:tblStylePr w:type="firstRow">
      <w:rPr>
        <w:b/>
      </w:rPr>
    </w:tblStylePr>
  </w:style>
  <w:style w:type="paragraph" w:customStyle="1" w:styleId="Tabelltext">
    <w:name w:val="Tabelltext"/>
    <w:basedOn w:val="Normal"/>
    <w:uiPriority w:val="14"/>
    <w:qFormat/>
    <w:rsid w:val="0083458F"/>
    <w:pPr>
      <w:tabs>
        <w:tab w:val="left" w:pos="425"/>
      </w:tabs>
      <w:spacing w:after="0"/>
    </w:pPr>
    <w:rPr>
      <w:rFonts w:asciiTheme="majorHAnsi" w:hAnsiTheme="majorHAnsi" w:cstheme="majorHAnsi"/>
      <w:sz w:val="18"/>
      <w:szCs w:val="18"/>
    </w:rPr>
  </w:style>
  <w:style w:type="paragraph" w:customStyle="1" w:styleId="Infotext">
    <w:name w:val="Infotext"/>
    <w:basedOn w:val="Normal"/>
    <w:uiPriority w:val="16"/>
    <w:semiHidden/>
    <w:rsid w:val="00725CB3"/>
    <w:pPr>
      <w:spacing w:before="200"/>
    </w:pPr>
    <w:rPr>
      <w:rFonts w:asciiTheme="majorHAnsi" w:hAnsiTheme="majorHAnsi" w:cstheme="majorHAnsi"/>
      <w:sz w:val="16"/>
      <w:szCs w:val="16"/>
    </w:rPr>
  </w:style>
  <w:style w:type="paragraph" w:customStyle="1" w:styleId="Mellanrum">
    <w:name w:val="Mellanrum"/>
    <w:basedOn w:val="Infotext"/>
    <w:uiPriority w:val="16"/>
    <w:semiHidden/>
    <w:rsid w:val="00751157"/>
    <w:pPr>
      <w:spacing w:before="0" w:after="0"/>
    </w:pPr>
    <w:rPr>
      <w:sz w:val="12"/>
      <w:szCs w:val="12"/>
    </w:rPr>
  </w:style>
  <w:style w:type="table" w:customStyle="1" w:styleId="Jordbruksverketstandard">
    <w:name w:val="Jordbruksverket standard"/>
    <w:basedOn w:val="Normaltabell"/>
    <w:uiPriority w:val="99"/>
    <w:rsid w:val="00091EBB"/>
    <w:pPr>
      <w:spacing w:before="40" w:after="40" w:line="240" w:lineRule="auto"/>
      <w:jc w:val="right"/>
    </w:pPr>
    <w:rPr>
      <w:rFonts w:asciiTheme="majorHAnsi" w:hAnsiTheme="majorHAnsi"/>
      <w:sz w:val="18"/>
    </w:rPr>
    <w:tblPr>
      <w:tblStyleRowBandSize w:val="1"/>
      <w:tblStyleColBandSize w:val="1"/>
      <w:tblBorders>
        <w:bottom w:val="single" w:sz="4" w:space="0" w:color="auto"/>
      </w:tblBorders>
    </w:tblPr>
    <w:tblStylePr w:type="firstRow">
      <w:rPr>
        <w:b/>
      </w:rPr>
      <w:tblPr/>
      <w:trPr>
        <w:tblHeader/>
      </w:trPr>
      <w:tcPr>
        <w:tcBorders>
          <w:bottom w:val="single" w:sz="4" w:space="0" w:color="auto"/>
        </w:tcBorders>
        <w:shd w:val="clear" w:color="auto" w:fill="C7D9B1"/>
      </w:tcPr>
    </w:tblStylePr>
    <w:tblStylePr w:type="lastRow">
      <w:rPr>
        <w:b/>
      </w:rPr>
      <w:tblPr/>
      <w:tcPr>
        <w:tcBorders>
          <w:top w:val="single" w:sz="4" w:space="0" w:color="auto"/>
        </w:tcBorders>
      </w:tcPr>
    </w:tblStylePr>
    <w:tblStylePr w:type="firstCol">
      <w:pPr>
        <w:jc w:val="left"/>
      </w:pPr>
    </w:tblStylePr>
    <w:tblStylePr w:type="band1Vert">
      <w:tblPr/>
      <w:tcPr>
        <w:shd w:val="clear" w:color="auto" w:fill="E8E8E8"/>
      </w:tcPr>
    </w:tblStylePr>
    <w:tblStylePr w:type="band1Horz">
      <w:tblPr/>
      <w:tcPr>
        <w:shd w:val="clear" w:color="auto" w:fill="E8E8E8"/>
      </w:tcPr>
    </w:tblStylePr>
  </w:style>
  <w:style w:type="paragraph" w:customStyle="1" w:styleId="Klla">
    <w:name w:val="Källa"/>
    <w:basedOn w:val="Normal"/>
    <w:next w:val="Normal"/>
    <w:uiPriority w:val="15"/>
    <w:qFormat/>
    <w:rsid w:val="00E33F7E"/>
    <w:pPr>
      <w:spacing w:before="40" w:after="260"/>
      <w:contextualSpacing/>
    </w:pPr>
    <w:rPr>
      <w:rFonts w:asciiTheme="majorHAnsi" w:hAnsiTheme="majorHAnsi" w:cstheme="majorHAnsi"/>
      <w:sz w:val="17"/>
      <w:szCs w:val="17"/>
    </w:rPr>
  </w:style>
  <w:style w:type="paragraph" w:styleId="Liststycke">
    <w:name w:val="List Paragraph"/>
    <w:basedOn w:val="Normal"/>
    <w:uiPriority w:val="34"/>
    <w:semiHidden/>
    <w:qFormat/>
    <w:rsid w:val="00D72FA9"/>
    <w:pPr>
      <w:ind w:left="720"/>
      <w:contextualSpacing/>
    </w:pPr>
  </w:style>
  <w:style w:type="character" w:styleId="Kommentarsreferens">
    <w:name w:val="annotation reference"/>
    <w:basedOn w:val="Standardstycketeckensnitt"/>
    <w:uiPriority w:val="99"/>
    <w:semiHidden/>
    <w:unhideWhenUsed/>
    <w:rsid w:val="00CA0B33"/>
    <w:rPr>
      <w:sz w:val="16"/>
      <w:szCs w:val="16"/>
    </w:rPr>
  </w:style>
  <w:style w:type="paragraph" w:styleId="Kommentarer">
    <w:name w:val="annotation text"/>
    <w:basedOn w:val="Normal"/>
    <w:link w:val="KommentarerChar"/>
    <w:uiPriority w:val="99"/>
    <w:semiHidden/>
    <w:unhideWhenUsed/>
    <w:rsid w:val="00CA0B33"/>
    <w:pPr>
      <w:spacing w:line="240" w:lineRule="auto"/>
    </w:pPr>
    <w:rPr>
      <w:sz w:val="20"/>
      <w:szCs w:val="20"/>
    </w:rPr>
  </w:style>
  <w:style w:type="character" w:customStyle="1" w:styleId="KommentarerChar">
    <w:name w:val="Kommentarer Char"/>
    <w:basedOn w:val="Standardstycketeckensnitt"/>
    <w:link w:val="Kommentarer"/>
    <w:uiPriority w:val="99"/>
    <w:semiHidden/>
    <w:rsid w:val="00CA0B33"/>
    <w:rPr>
      <w:sz w:val="20"/>
      <w:szCs w:val="20"/>
    </w:rPr>
  </w:style>
  <w:style w:type="paragraph" w:styleId="Kommentarsmne">
    <w:name w:val="annotation subject"/>
    <w:basedOn w:val="Kommentarer"/>
    <w:next w:val="Kommentarer"/>
    <w:link w:val="KommentarsmneChar"/>
    <w:uiPriority w:val="99"/>
    <w:semiHidden/>
    <w:unhideWhenUsed/>
    <w:rsid w:val="00CA0B33"/>
    <w:rPr>
      <w:b/>
      <w:bCs/>
    </w:rPr>
  </w:style>
  <w:style w:type="character" w:customStyle="1" w:styleId="KommentarsmneChar">
    <w:name w:val="Kommentarsämne Char"/>
    <w:basedOn w:val="KommentarerChar"/>
    <w:link w:val="Kommentarsmne"/>
    <w:uiPriority w:val="99"/>
    <w:semiHidden/>
    <w:rsid w:val="00CA0B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261618">
      <w:bodyDiv w:val="1"/>
      <w:marLeft w:val="0"/>
      <w:marRight w:val="0"/>
      <w:marTop w:val="0"/>
      <w:marBottom w:val="0"/>
      <w:divBdr>
        <w:top w:val="none" w:sz="0" w:space="0" w:color="auto"/>
        <w:left w:val="none" w:sz="0" w:space="0" w:color="auto"/>
        <w:bottom w:val="none" w:sz="0" w:space="0" w:color="auto"/>
        <w:right w:val="none" w:sz="0" w:space="0" w:color="auto"/>
      </w:divBdr>
    </w:div>
    <w:div w:id="1244798811">
      <w:bodyDiv w:val="1"/>
      <w:marLeft w:val="0"/>
      <w:marRight w:val="0"/>
      <w:marTop w:val="0"/>
      <w:marBottom w:val="0"/>
      <w:divBdr>
        <w:top w:val="none" w:sz="0" w:space="0" w:color="auto"/>
        <w:left w:val="none" w:sz="0" w:space="0" w:color="auto"/>
        <w:bottom w:val="none" w:sz="0" w:space="0" w:color="auto"/>
        <w:right w:val="none" w:sz="0" w:space="0" w:color="auto"/>
      </w:divBdr>
    </w:div>
    <w:div w:id="140807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hares.intern.jordbruksverket.se\mallar\mallar\F&#246;reskriftsarbete\S&#228;rskild%20konsekvensanaly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5DB81A2FC42490FAD38B63A6C7413C3"/>
        <w:category>
          <w:name w:val="Allmänt"/>
          <w:gallery w:val="placeholder"/>
        </w:category>
        <w:types>
          <w:type w:val="bbPlcHdr"/>
        </w:types>
        <w:behaviors>
          <w:behavior w:val="content"/>
        </w:behaviors>
        <w:guid w:val="{5AD26805-3CA4-4724-9513-2F8E55BEFDED}"/>
      </w:docPartPr>
      <w:docPartBody>
        <w:p w:rsidR="00325261" w:rsidRDefault="00325261">
          <w:pPr>
            <w:pStyle w:val="65DB81A2FC42490FAD38B63A6C7413C3"/>
          </w:pPr>
          <w:r w:rsidRPr="000C55E6">
            <w:rPr>
              <w:rStyle w:val="Platshllartext"/>
            </w:rPr>
            <w:t>ange antal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261"/>
    <w:rsid w:val="003252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B70D9B811EE4E38B131D969C68A60BA">
    <w:name w:val="3B70D9B811EE4E38B131D969C68A60BA"/>
  </w:style>
  <w:style w:type="paragraph" w:customStyle="1" w:styleId="ACC4ACA6F56A405791A322F44F615641">
    <w:name w:val="ACC4ACA6F56A405791A322F44F615641"/>
  </w:style>
  <w:style w:type="paragraph" w:customStyle="1" w:styleId="65DB81A2FC42490FAD38B63A6C7413C3">
    <w:name w:val="65DB81A2FC42490FAD38B63A6C7413C3"/>
  </w:style>
  <w:style w:type="paragraph" w:customStyle="1" w:styleId="BC485E90DE804F988FCA1067725B26D2">
    <w:name w:val="BC485E90DE804F988FCA1067725B26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Jordbruksverket">
      <a:dk1>
        <a:sysClr val="windowText" lastClr="000000"/>
      </a:dk1>
      <a:lt1>
        <a:sysClr val="window" lastClr="FFFFFF"/>
      </a:lt1>
      <a:dk2>
        <a:srgbClr val="44546A"/>
      </a:dk2>
      <a:lt2>
        <a:srgbClr val="E7E6E6"/>
      </a:lt2>
      <a:accent1>
        <a:srgbClr val="84BD00"/>
      </a:accent1>
      <a:accent2>
        <a:srgbClr val="62B5E5"/>
      </a:accent2>
      <a:accent3>
        <a:srgbClr val="E07A0A"/>
      </a:accent3>
      <a:accent4>
        <a:srgbClr val="E9B809"/>
      </a:accent4>
      <a:accent5>
        <a:srgbClr val="ED1C24"/>
      </a:accent5>
      <a:accent6>
        <a:srgbClr val="6E4A00"/>
      </a:accent6>
      <a:hlink>
        <a:srgbClr val="2F5496"/>
      </a:hlink>
      <a:folHlink>
        <a:srgbClr val="2F5496"/>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4E67F-0D06-490D-9776-CF5157F4B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Särskild konsekvensanalys</Template>
  <TotalTime>0</TotalTime>
  <Pages>4</Pages>
  <Words>742</Words>
  <Characters>3934</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Bollmark</dc:creator>
  <cp:keywords/>
  <dc:description/>
  <cp:lastModifiedBy>Lars Bollmark</cp:lastModifiedBy>
  <cp:revision>2</cp:revision>
  <dcterms:created xsi:type="dcterms:W3CDTF">2024-11-13T13:55:00Z</dcterms:created>
  <dcterms:modified xsi:type="dcterms:W3CDTF">2024-11-13T13:55:00Z</dcterms:modified>
</cp:coreProperties>
</file>