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1051" w14:textId="1C0C0AB3" w:rsidR="008C38D4" w:rsidRPr="00A25E90" w:rsidRDefault="00A25E90" w:rsidP="008C38D4">
      <w:pPr>
        <w:pStyle w:val="Rubrik1"/>
        <w:rPr>
          <w:b/>
          <w:bCs/>
          <w:u w:val="single"/>
        </w:rPr>
      </w:pPr>
      <w:r w:rsidRPr="00A25E90">
        <w:rPr>
          <w:b/>
          <w:bCs/>
          <w:u w:val="single"/>
        </w:rPr>
        <w:t>EXTERN REMISS</w:t>
      </w:r>
    </w:p>
    <w:p w14:paraId="35340AF5" w14:textId="01A8B600" w:rsidR="00A447C0" w:rsidRDefault="00A447C0" w:rsidP="00162A7C">
      <w:pPr>
        <w:rPr>
          <w:i/>
          <w:highlight w:val="yellow"/>
        </w:rPr>
      </w:pPr>
    </w:p>
    <w:p w14:paraId="03E96CEC" w14:textId="77777777" w:rsidR="00162A7C" w:rsidRDefault="00162A7C" w:rsidP="00162A7C">
      <w:pPr>
        <w:pStyle w:val="Rubrik1"/>
      </w:pPr>
      <w:bookmarkStart w:id="0" w:name="_Hlk225848049"/>
      <w:r>
        <w:t>Kontrollprocessen</w:t>
      </w:r>
    </w:p>
    <w:bookmarkEnd w:id="0"/>
    <w:p w14:paraId="7F57E569" w14:textId="7C44569C" w:rsidR="007F210F" w:rsidRDefault="007F210F" w:rsidP="007F210F">
      <w:pPr>
        <w:rPr>
          <w:sz w:val="24"/>
          <w:szCs w:val="24"/>
        </w:rPr>
      </w:pPr>
      <w:r w:rsidRPr="00F53F0D">
        <w:rPr>
          <w:sz w:val="24"/>
          <w:szCs w:val="24"/>
        </w:rPr>
        <w:t>Ta del av den process som Livsmedelsverket tagit fram och rekommenderar för enskilda kontrolltillfällen i den offentliga livsmedelskontrollen.</w:t>
      </w:r>
      <w:r w:rsidRPr="002F1B6A">
        <w:rPr>
          <w:sz w:val="24"/>
          <w:szCs w:val="24"/>
        </w:rPr>
        <w:t xml:space="preserve"> Läs också vår korta vägledning om vad som ingår i </w:t>
      </w:r>
      <w:r w:rsidR="00536ACA">
        <w:rPr>
          <w:sz w:val="24"/>
          <w:szCs w:val="24"/>
        </w:rPr>
        <w:t xml:space="preserve">de olika stegen i flödet genom </w:t>
      </w:r>
      <w:r w:rsidRPr="002F1B6A">
        <w:rPr>
          <w:sz w:val="24"/>
          <w:szCs w:val="24"/>
        </w:rPr>
        <w:t>processen</w:t>
      </w:r>
      <w:r w:rsidR="00536ACA">
        <w:rPr>
          <w:sz w:val="24"/>
          <w:szCs w:val="24"/>
        </w:rPr>
        <w:t>,</w:t>
      </w:r>
      <w:r w:rsidRPr="002F1B6A">
        <w:rPr>
          <w:sz w:val="24"/>
          <w:szCs w:val="24"/>
        </w:rPr>
        <w:t xml:space="preserve"> och </w:t>
      </w:r>
      <w:r w:rsidR="00536ACA">
        <w:rPr>
          <w:sz w:val="24"/>
          <w:szCs w:val="24"/>
        </w:rPr>
        <w:t xml:space="preserve">hitta </w:t>
      </w:r>
      <w:r w:rsidRPr="002F1B6A">
        <w:rPr>
          <w:sz w:val="24"/>
          <w:szCs w:val="24"/>
        </w:rPr>
        <w:t>mer information via länkar.</w:t>
      </w:r>
    </w:p>
    <w:p w14:paraId="17F92EF7" w14:textId="77777777" w:rsidR="00162A7C" w:rsidRDefault="00162A7C" w:rsidP="00162A7C">
      <w:pPr>
        <w:rPr>
          <w:sz w:val="24"/>
          <w:szCs w:val="24"/>
        </w:rPr>
      </w:pPr>
      <w:r>
        <w:rPr>
          <w:sz w:val="24"/>
          <w:szCs w:val="24"/>
        </w:rPr>
        <w:t>På denna sida</w:t>
      </w:r>
    </w:p>
    <w:p w14:paraId="4D8B80FD" w14:textId="77777777" w:rsidR="00162A7C" w:rsidRPr="0062463D" w:rsidRDefault="00162A7C" w:rsidP="003F4AC8">
      <w:pPr>
        <w:pStyle w:val="Rubrik2"/>
      </w:pPr>
      <w:r w:rsidRPr="0062463D">
        <w:t>Ord och uttryck</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62A7C" w14:paraId="217F685E" w14:textId="77777777" w:rsidTr="006C1694">
        <w:tc>
          <w:tcPr>
            <w:tcW w:w="9062" w:type="dxa"/>
            <w:shd w:val="clear" w:color="auto" w:fill="E2EFD9" w:themeFill="accent6" w:themeFillTint="33"/>
          </w:tcPr>
          <w:p w14:paraId="7736A9B0" w14:textId="77777777" w:rsidR="007F210F" w:rsidRPr="00C3519D" w:rsidRDefault="007F210F" w:rsidP="007F210F">
            <w:pPr>
              <w:rPr>
                <w:b/>
              </w:rPr>
            </w:pPr>
            <w:r w:rsidRPr="00C3519D">
              <w:rPr>
                <w:b/>
              </w:rPr>
              <w:t>I text</w:t>
            </w:r>
            <w:r>
              <w:rPr>
                <w:b/>
              </w:rPr>
              <w:t>en</w:t>
            </w:r>
            <w:r w:rsidRPr="00C3519D">
              <w:rPr>
                <w:b/>
              </w:rPr>
              <w:t xml:space="preserve"> betyder:</w:t>
            </w:r>
          </w:p>
          <w:p w14:paraId="0718CA9D" w14:textId="77777777" w:rsidR="007F210F" w:rsidRPr="00AB66B8" w:rsidRDefault="007F210F" w:rsidP="007F210F">
            <w:pPr>
              <w:pStyle w:val="Liststycke"/>
              <w:numPr>
                <w:ilvl w:val="0"/>
                <w:numId w:val="9"/>
              </w:numPr>
            </w:pPr>
            <w:r w:rsidRPr="00AB66B8">
              <w:t>riskbaserad planerad kontroll – kontroll som ingår myndighetens kontrollplan, kontrolltillfälle som genomförs utifrån verksamhetens riskklassning.</w:t>
            </w:r>
          </w:p>
          <w:p w14:paraId="5D219E4F" w14:textId="77777777" w:rsidR="007F210F" w:rsidRPr="00C3519D" w:rsidRDefault="007F210F" w:rsidP="007F210F">
            <w:pPr>
              <w:pStyle w:val="Liststycke"/>
              <w:numPr>
                <w:ilvl w:val="0"/>
                <w:numId w:val="9"/>
              </w:numPr>
            </w:pPr>
            <w:r>
              <w:t>h</w:t>
            </w:r>
            <w:r w:rsidRPr="00C3519D">
              <w:t xml:space="preserve">ändelsestyrd kontroll – kontroll som ursprungligen inte var planerad men som görs på </w:t>
            </w:r>
            <w:r w:rsidRPr="00B51C57">
              <w:t>grund av misstanke</w:t>
            </w:r>
            <w:r w:rsidRPr="00C3519D">
              <w:t xml:space="preserve"> om avvikelse, till exempel utifrån </w:t>
            </w:r>
            <w:r w:rsidRPr="00F109FC">
              <w:t>klagomål, tips eller RASFF</w:t>
            </w:r>
            <w:r>
              <w:t>-ärenden som kommit in.</w:t>
            </w:r>
          </w:p>
          <w:p w14:paraId="6DC31C28" w14:textId="77777777" w:rsidR="007F210F" w:rsidRPr="00C3519D" w:rsidRDefault="007F210F" w:rsidP="007F210F">
            <w:pPr>
              <w:pStyle w:val="Liststycke"/>
              <w:numPr>
                <w:ilvl w:val="0"/>
                <w:numId w:val="9"/>
              </w:numPr>
              <w:rPr>
                <w:sz w:val="24"/>
                <w:szCs w:val="24"/>
              </w:rPr>
            </w:pPr>
            <w:r>
              <w:t>a</w:t>
            </w:r>
            <w:r w:rsidRPr="00C3519D">
              <w:t xml:space="preserve">vvikelse – bristande efterlevnad av livsmedelslagstiftningen, det vill säga att en verksamhet eller ett livsmedel inte uppfyller lagstiftningens krav. </w:t>
            </w:r>
          </w:p>
          <w:p w14:paraId="711C141A" w14:textId="77777777" w:rsidR="007F210F" w:rsidRPr="00CC3911" w:rsidRDefault="007F210F" w:rsidP="007F210F">
            <w:pPr>
              <w:pStyle w:val="Liststycke"/>
              <w:numPr>
                <w:ilvl w:val="0"/>
                <w:numId w:val="9"/>
              </w:numPr>
            </w:pPr>
            <w:r>
              <w:t>v</w:t>
            </w:r>
            <w:r w:rsidRPr="00450A0B">
              <w:t>erksamhet – den verksamhet som blir föremål för livsmedelskontroll, till exempel en livsmedelsanläggning, en dricksvattenanläggning eller en kontaktmaterialverksamhet.</w:t>
            </w:r>
          </w:p>
          <w:p w14:paraId="5D3C2719" w14:textId="513C7EDE" w:rsidR="007F210F" w:rsidRPr="00E73DB5" w:rsidRDefault="007F210F" w:rsidP="007F210F">
            <w:pPr>
              <w:pStyle w:val="Liststycke"/>
              <w:numPr>
                <w:ilvl w:val="0"/>
                <w:numId w:val="9"/>
              </w:numPr>
              <w:rPr>
                <w:sz w:val="24"/>
                <w:szCs w:val="24"/>
              </w:rPr>
            </w:pPr>
            <w:r w:rsidRPr="00536ACA">
              <w:t>verksamhetsutövare</w:t>
            </w:r>
            <w:r w:rsidRPr="00C3519D">
              <w:t xml:space="preserve"> – en juridisk eller fysisk person som </w:t>
            </w:r>
            <w:r>
              <w:t xml:space="preserve">har </w:t>
            </w:r>
            <w:r w:rsidRPr="00C3519D">
              <w:t xml:space="preserve">ansvar för att lagstiftningen efterlevs i den verksamhet som kontrolleras. </w:t>
            </w:r>
            <w:r>
              <w:t>Verksamhetsutövare innefattar</w:t>
            </w:r>
            <w:r w:rsidR="00E41B25">
              <w:t xml:space="preserve"> </w:t>
            </w:r>
            <w:r w:rsidRPr="00C3519D">
              <w:t>livsmedelsföretagare och aktör som bedriver kontaktmaterialverksamhet.</w:t>
            </w:r>
          </w:p>
          <w:p w14:paraId="435EA8D2" w14:textId="77777777" w:rsidR="00162A7C" w:rsidRDefault="00162A7C" w:rsidP="006C1694">
            <w:pPr>
              <w:pStyle w:val="Liststycke"/>
              <w:rPr>
                <w:sz w:val="24"/>
                <w:szCs w:val="24"/>
              </w:rPr>
            </w:pPr>
          </w:p>
        </w:tc>
      </w:tr>
    </w:tbl>
    <w:p w14:paraId="3D334B56" w14:textId="77777777" w:rsidR="00826E61" w:rsidRDefault="00826E61" w:rsidP="00162A7C">
      <w:pPr>
        <w:pStyle w:val="Rubrik2"/>
      </w:pPr>
    </w:p>
    <w:p w14:paraId="2FD39D17" w14:textId="6412B840" w:rsidR="00162A7C" w:rsidRPr="00F109FC" w:rsidRDefault="00AC4424" w:rsidP="00162A7C">
      <w:pPr>
        <w:pStyle w:val="Rubrik2"/>
      </w:pPr>
      <w:r>
        <w:t>Vad innebär k</w:t>
      </w:r>
      <w:r w:rsidR="00162A7C">
        <w:t>ontrollprocessen</w:t>
      </w:r>
      <w:r>
        <w:t>?</w:t>
      </w:r>
    </w:p>
    <w:p w14:paraId="643E4502" w14:textId="691AF135" w:rsidR="00162A7C" w:rsidRDefault="00F80F06" w:rsidP="00162A7C">
      <w:r>
        <w:t>Kontrollp</w:t>
      </w:r>
      <w:r w:rsidR="00162A7C">
        <w:t xml:space="preserve">rocessen </w:t>
      </w:r>
      <w:r>
        <w:t xml:space="preserve">innehåller </w:t>
      </w:r>
      <w:r w:rsidR="002B1D6F">
        <w:t xml:space="preserve">alla </w:t>
      </w:r>
      <w:r w:rsidR="00162A7C">
        <w:t>steg</w:t>
      </w:r>
      <w:r w:rsidR="002B1D6F">
        <w:t xml:space="preserve"> </w:t>
      </w:r>
      <w:r w:rsidR="00162A7C">
        <w:t xml:space="preserve">från förberedelse och genomförande av ett kontrolltillfälle till hantering av kontrollrapport, kommunicering av kontrollresultat och hantering av eventuella avvikelser. </w:t>
      </w:r>
      <w:r>
        <w:t>P</w:t>
      </w:r>
      <w:r w:rsidR="002B1D6F">
        <w:t>r</w:t>
      </w:r>
      <w:r>
        <w:t xml:space="preserve">ocessen </w:t>
      </w:r>
      <w:r w:rsidR="00162A7C">
        <w:t xml:space="preserve">kan användas oavsett orsak till kontrollen eller om kontrollen sker på plats i verksamheten eller på distans. </w:t>
      </w:r>
    </w:p>
    <w:p w14:paraId="0401B66E" w14:textId="77777777" w:rsidR="00E41B25" w:rsidRDefault="00162A7C" w:rsidP="00162A7C">
      <w:r>
        <w:t>Processen beskriver</w:t>
      </w:r>
      <w:r w:rsidRPr="00F109FC">
        <w:t xml:space="preserve"> inte alla moment som </w:t>
      </w:r>
      <w:r>
        <w:t>kan vara kopplade till</w:t>
      </w:r>
      <w:r w:rsidRPr="00F109FC">
        <w:t xml:space="preserve"> </w:t>
      </w:r>
      <w:r>
        <w:t xml:space="preserve">ett </w:t>
      </w:r>
      <w:r w:rsidRPr="00F109FC">
        <w:t>kontroll</w:t>
      </w:r>
      <w:r>
        <w:t xml:space="preserve">tillfälle. </w:t>
      </w:r>
      <w:r w:rsidRPr="00521476">
        <w:t xml:space="preserve">Det kan till exempel vara aktuellt att informera andra berörda kontrollmyndigheter om icke-säkra livsmedel som </w:t>
      </w:r>
      <w:r w:rsidR="00F80F06" w:rsidRPr="00521476">
        <w:t xml:space="preserve">har </w:t>
      </w:r>
      <w:r w:rsidRPr="00521476">
        <w:t>spridits på marknaden</w:t>
      </w:r>
      <w:r w:rsidR="00E41B25">
        <w:t>.</w:t>
      </w:r>
      <w:r w:rsidRPr="00521476">
        <w:t xml:space="preserve"> Ibland är det lämpligt att göra åtalsanmälan eller fatta beslut om sanktionsavgift, vilket inte </w:t>
      </w:r>
      <w:r w:rsidR="00E41B25">
        <w:t xml:space="preserve">heller nämns </w:t>
      </w:r>
      <w:r w:rsidRPr="00521476">
        <w:t>i processen</w:t>
      </w:r>
      <w:r>
        <w:t xml:space="preserve">. </w:t>
      </w:r>
    </w:p>
    <w:p w14:paraId="43EA4CC5" w14:textId="5921E2AC" w:rsidR="00162A7C" w:rsidRDefault="00162A7C" w:rsidP="00162A7C">
      <w:r>
        <w:t>Ibland kan anpassningar eller avsteg från processen behöva göras, till exempel när det finns avvikelser som är så allvarliga att myndigheten omedelbart behöver fatta beslut om åtgärder.</w:t>
      </w:r>
    </w:p>
    <w:p w14:paraId="0E9002C0" w14:textId="50C05A8C" w:rsidR="00162A7C" w:rsidRDefault="00162A7C" w:rsidP="00162A7C">
      <w:r>
        <w:t>Processen är anpassad till förordning (EU) 2017/625. Om en verksamhetsutövare inte följer bestämmelser</w:t>
      </w:r>
      <w:r w:rsidR="00F80F06">
        <w:t>na</w:t>
      </w:r>
      <w:r>
        <w:t xml:space="preserve"> i lagstiftningen ska den behöriga myndigheten vidta åtgärder som säkerställer att verksamhetsutövaren åtgärdar avvikelsen och förebygger upprepningar av den. Det framgår bland annat av artikel 138 i förordningen. </w:t>
      </w:r>
    </w:p>
    <w:p w14:paraId="60A67E2C" w14:textId="77777777" w:rsidR="00623F42" w:rsidRDefault="00623F42" w:rsidP="00623F42">
      <w:r w:rsidRPr="00623F42">
        <w:t xml:space="preserve">Kontrollprocessen kan även användas vid kontroll av en verksamhet som släpper ut icke-säkra livsmedel på marknaden men där verksamheten inte uppfyller definitionen av livsmedelsföretag enligt förordning (EG) nr 178/2002. </w:t>
      </w:r>
    </w:p>
    <w:p w14:paraId="7DAE3FAF" w14:textId="77DD4A91" w:rsidR="00623F42" w:rsidRPr="00623F42" w:rsidRDefault="00623F42" w:rsidP="00623F42">
      <w:hyperlink r:id="rId11" w:history="1">
        <w:r w:rsidRPr="00623F42">
          <w:rPr>
            <w:rStyle w:val="Hyperlnk"/>
          </w:rPr>
          <w:t>Förordning (EU) 2017/625</w:t>
        </w:r>
      </w:hyperlink>
    </w:p>
    <w:p w14:paraId="6E435185" w14:textId="77777777" w:rsidR="00623F42" w:rsidRPr="00623F42" w:rsidRDefault="00623F42" w:rsidP="00623F42">
      <w:hyperlink r:id="rId12" w:anchor="Begreppen%20viss%20kontinuitet%20och%20viss%20grad%20av%20organisation" w:history="1">
        <w:r w:rsidRPr="00623F42">
          <w:rPr>
            <w:rStyle w:val="Hyperlnk"/>
          </w:rPr>
          <w:t>Livsmedelsföretag, livsmedelsföretagare och livsmedelsanläggning</w:t>
        </w:r>
      </w:hyperlink>
    </w:p>
    <w:p w14:paraId="45D607D0" w14:textId="77777777" w:rsidR="00623F42" w:rsidRDefault="00623F42" w:rsidP="00162A7C"/>
    <w:p w14:paraId="6936537D" w14:textId="1269E712" w:rsidR="00412A9A" w:rsidRPr="00E41B25" w:rsidRDefault="00162A7C" w:rsidP="00162A7C">
      <w:r>
        <w:t xml:space="preserve">Kontrollprocessen </w:t>
      </w:r>
      <w:r w:rsidR="008B34FB">
        <w:t>följer</w:t>
      </w:r>
      <w:r>
        <w:t xml:space="preserve"> förvaltningslagen (2017:900). Där finns bland annat krav på att handläggning ska ske så enkelt, snabbt och kostnadseffektivt som möjligt utan att rättssäkerheten eftersätts. Där finns också bestämmelser om kommunikation inför beslut och om att beslut om åtgärder som myndigheten fattar måste vara proportionerliga. </w:t>
      </w:r>
      <w:r w:rsidRPr="00AB66B8">
        <w:t>Se 5, 9 och 25 §</w:t>
      </w:r>
      <w:r w:rsidR="00521476" w:rsidRPr="00AB66B8">
        <w:t>§</w:t>
      </w:r>
      <w:r w:rsidRPr="00AB66B8">
        <w:t xml:space="preserve"> förvaltningslagen.</w:t>
      </w:r>
    </w:p>
    <w:p w14:paraId="5C99D8C4" w14:textId="77777777" w:rsidR="00162A7C" w:rsidRPr="00C3746B" w:rsidRDefault="00162A7C" w:rsidP="00162A7C">
      <w:pPr>
        <w:rPr>
          <w:rStyle w:val="Hyperlnk"/>
        </w:rPr>
      </w:pPr>
      <w:r>
        <w:fldChar w:fldCharType="begin"/>
      </w:r>
      <w:r>
        <w:instrText>HYPERLINK "https://www.riksdagen.se/sv/dokument-och-lagar/dokument/svensk-forfattningssamling/forvaltningslag-2017900_sfs-2017-900/"</w:instrText>
      </w:r>
      <w:r>
        <w:fldChar w:fldCharType="separate"/>
      </w:r>
      <w:r w:rsidRPr="00C3746B">
        <w:rPr>
          <w:rStyle w:val="Hyperlnk"/>
        </w:rPr>
        <w:t>Förvaltningslag (2017:900)</w:t>
      </w:r>
    </w:p>
    <w:p w14:paraId="2F238469" w14:textId="0D83EC27" w:rsidR="00162A7C" w:rsidRPr="00C3746B" w:rsidRDefault="00162A7C" w:rsidP="00623F42">
      <w:pPr>
        <w:rPr>
          <w:sz w:val="20"/>
          <w:szCs w:val="20"/>
        </w:rPr>
      </w:pPr>
      <w:r>
        <w:fldChar w:fldCharType="end"/>
      </w:r>
      <w:r w:rsidR="00623F42" w:rsidRPr="00C3746B">
        <w:rPr>
          <w:sz w:val="20"/>
          <w:szCs w:val="20"/>
        </w:rPr>
        <w:t xml:space="preserve"> </w:t>
      </w:r>
    </w:p>
    <w:p w14:paraId="009B814C" w14:textId="2327EA1B" w:rsidR="00162A7C" w:rsidRDefault="00162A7C" w:rsidP="00162A7C">
      <w:pPr>
        <w:pStyle w:val="Rubrik3"/>
      </w:pPr>
      <w:r>
        <w:t xml:space="preserve">Syftet med </w:t>
      </w:r>
      <w:r w:rsidR="00AC4424">
        <w:t>kontroll</w:t>
      </w:r>
      <w:r>
        <w:t>processen</w:t>
      </w:r>
    </w:p>
    <w:p w14:paraId="68BBE938" w14:textId="77777777" w:rsidR="00162A7C" w:rsidRDefault="00162A7C" w:rsidP="00162A7C">
      <w:r>
        <w:t xml:space="preserve">Kontrollprocessen är en </w:t>
      </w:r>
      <w:r w:rsidRPr="00AB66B8">
        <w:t>del av God kontrollsed. Visionen för god kontrollsed</w:t>
      </w:r>
      <w:r w:rsidRPr="00C033C3">
        <w:t xml:space="preserve"> är att livsmedelskontrollen ska vara likvärdig och utföras med hög kvalitet.</w:t>
      </w:r>
    </w:p>
    <w:p w14:paraId="0BEEF46C" w14:textId="77777777" w:rsidR="00162A7C" w:rsidRDefault="00162A7C" w:rsidP="00162A7C">
      <w:hyperlink r:id="rId13" w:history="1">
        <w:r w:rsidRPr="00194913">
          <w:rPr>
            <w:rStyle w:val="Hyperlnk"/>
          </w:rPr>
          <w:t>God kontrollsed</w:t>
        </w:r>
      </w:hyperlink>
    </w:p>
    <w:p w14:paraId="69238177" w14:textId="0E71D761" w:rsidR="00162A7C" w:rsidRDefault="00162A7C" w:rsidP="00162A7C">
      <w:r>
        <w:t>Om kontrollerna genomförs enligt denna process bidrar det till att myndighetens kontroll blir riskbaserad, rättssäker och verkningsfull</w:t>
      </w:r>
      <w:r w:rsidRPr="00F53F0D">
        <w:t>. Genom en</w:t>
      </w:r>
      <w:r w:rsidR="00623F42" w:rsidRPr="00F53F0D">
        <w:t xml:space="preserve"> god</w:t>
      </w:r>
      <w:r w:rsidRPr="00F53F0D">
        <w:t xml:space="preserve"> kommunikation blir det tydligt för verksamhetsutövarna vad de är skyldiga att åtgärda. </w:t>
      </w:r>
      <w:r w:rsidR="00623F42" w:rsidRPr="00F53F0D">
        <w:t xml:space="preserve">När processen följs </w:t>
      </w:r>
      <w:r w:rsidRPr="00F53F0D">
        <w:t xml:space="preserve">får </w:t>
      </w:r>
      <w:r w:rsidR="00623F42" w:rsidRPr="00F53F0D">
        <w:t xml:space="preserve">verksamhetsutövare </w:t>
      </w:r>
      <w:r w:rsidRPr="00F53F0D">
        <w:t xml:space="preserve">också information </w:t>
      </w:r>
      <w:r w:rsidR="00623F42" w:rsidRPr="00F53F0D">
        <w:t>om att</w:t>
      </w:r>
      <w:r w:rsidRPr="00F53F0D">
        <w:t xml:space="preserve"> de kan överklaga</w:t>
      </w:r>
      <w:r w:rsidR="00623F42" w:rsidRPr="00F53F0D">
        <w:t xml:space="preserve"> krav på åtgärder</w:t>
      </w:r>
      <w:r w:rsidRPr="00F53F0D">
        <w:t>. En gemensam process ger även en mer likvärdig och enhetlig livsmedelskontroll i Sverige.</w:t>
      </w:r>
      <w:r>
        <w:t> </w:t>
      </w:r>
    </w:p>
    <w:p w14:paraId="6D613541" w14:textId="31587A21" w:rsidR="00826E61" w:rsidRDefault="00826E61" w:rsidP="00162A7C">
      <w:r>
        <w:rPr>
          <w:noProof/>
        </w:rPr>
        <w:drawing>
          <wp:inline distT="0" distB="0" distL="0" distR="0" wp14:anchorId="2A521B95" wp14:editId="5391D500">
            <wp:extent cx="6389858" cy="3594295"/>
            <wp:effectExtent l="0" t="0" r="0" b="6350"/>
            <wp:docPr id="58050958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0958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398300" cy="3599043"/>
                    </a:xfrm>
                    <a:prstGeom prst="rect">
                      <a:avLst/>
                    </a:prstGeom>
                  </pic:spPr>
                </pic:pic>
              </a:graphicData>
            </a:graphic>
          </wp:inline>
        </w:drawing>
      </w:r>
    </w:p>
    <w:p w14:paraId="122A8ED8" w14:textId="03BD3DC3" w:rsidR="00162A7C" w:rsidRDefault="00162A7C" w:rsidP="00162A7C"/>
    <w:p w14:paraId="2897010C" w14:textId="77777777" w:rsidR="002B1D6F" w:rsidRDefault="002B1D6F" w:rsidP="003F4AC8">
      <w:pPr>
        <w:pStyle w:val="Rubrik2"/>
      </w:pPr>
      <w:r>
        <w:t>Kontrollprocessen steg för steg</w:t>
      </w:r>
    </w:p>
    <w:p w14:paraId="05B6BB6E" w14:textId="649AFADE" w:rsidR="00162A7C" w:rsidRDefault="00162A7C" w:rsidP="00162A7C">
      <w:r>
        <w:t>Nedan beskrivs kontrollprocessen steg för steg.</w:t>
      </w:r>
    </w:p>
    <w:p w14:paraId="4E411EF6" w14:textId="0BA06C63" w:rsidR="00162A7C" w:rsidRPr="00C051D2" w:rsidRDefault="00162A7C" w:rsidP="00162A7C">
      <w:pPr>
        <w:pStyle w:val="Rubrik2"/>
      </w:pPr>
      <w:r>
        <w:t>Förbered</w:t>
      </w:r>
      <w:r w:rsidR="003E424B">
        <w:t xml:space="preserve">else av </w:t>
      </w:r>
      <w:r>
        <w:t>kontrollen</w:t>
      </w:r>
    </w:p>
    <w:p w14:paraId="334D9F75" w14:textId="22EC46B2" w:rsidR="00162A7C" w:rsidRDefault="00162A7C" w:rsidP="00162A7C">
      <w:r>
        <w:t xml:space="preserve">Förberedelsen </w:t>
      </w:r>
      <w:r w:rsidR="002B1D6F">
        <w:t>in</w:t>
      </w:r>
      <w:r>
        <w:t xml:space="preserve">för </w:t>
      </w:r>
      <w:r w:rsidR="002B1D6F">
        <w:t xml:space="preserve">en </w:t>
      </w:r>
      <w:r>
        <w:t>riskbaserad planerad kontroll utgår från</w:t>
      </w:r>
      <w:r w:rsidR="007C2495">
        <w:t xml:space="preserve"> den</w:t>
      </w:r>
      <w:r>
        <w:t xml:space="preserve"> befintlig</w:t>
      </w:r>
      <w:r w:rsidR="007C2495">
        <w:t>a</w:t>
      </w:r>
      <w:r>
        <w:t xml:space="preserve"> planering</w:t>
      </w:r>
      <w:r w:rsidR="007C2495">
        <w:t>en</w:t>
      </w:r>
      <w:r>
        <w:t xml:space="preserve">. </w:t>
      </w:r>
    </w:p>
    <w:p w14:paraId="43EB080C" w14:textId="77777777" w:rsidR="00162A7C" w:rsidRDefault="00162A7C" w:rsidP="00162A7C">
      <w:r>
        <w:t xml:space="preserve">Den omfattar: </w:t>
      </w:r>
    </w:p>
    <w:p w14:paraId="2AA08535" w14:textId="77777777" w:rsidR="00162A7C" w:rsidRDefault="00162A7C" w:rsidP="00162A7C">
      <w:pPr>
        <w:pStyle w:val="Liststycke"/>
        <w:numPr>
          <w:ilvl w:val="0"/>
          <w:numId w:val="8"/>
        </w:numPr>
      </w:pPr>
      <w:r>
        <w:t xml:space="preserve">Sveriges fleråriga nationell kontrollplan (NKP) och målen för livsmedelskontrollen, </w:t>
      </w:r>
    </w:p>
    <w:p w14:paraId="6B231BB7" w14:textId="4B736CF0" w:rsidR="00162A7C" w:rsidRDefault="00162A7C" w:rsidP="00162A7C">
      <w:pPr>
        <w:pStyle w:val="Liststycke"/>
        <w:numPr>
          <w:ilvl w:val="0"/>
          <w:numId w:val="8"/>
        </w:numPr>
      </w:pPr>
      <w:r>
        <w:t xml:space="preserve">myndighetens egen kontrollplan som tas fram </w:t>
      </w:r>
      <w:r w:rsidRPr="00D15FB6">
        <w:t xml:space="preserve">enligt </w:t>
      </w:r>
      <w:r w:rsidR="00E81CAC" w:rsidRPr="00E81CAC">
        <w:t>3e §</w:t>
      </w:r>
      <w:r w:rsidR="00E81CAC">
        <w:t>,</w:t>
      </w:r>
      <w:r w:rsidR="00E81CAC" w:rsidRPr="00E81CAC">
        <w:t xml:space="preserve"> </w:t>
      </w:r>
      <w:r w:rsidR="00E81CAC">
        <w:t>Livsmedelsverkets föreskrifter (</w:t>
      </w:r>
      <w:r w:rsidRPr="00D15FB6">
        <w:t>LIVSFS 2005:21</w:t>
      </w:r>
      <w:r w:rsidR="00E81CAC">
        <w:t>)</w:t>
      </w:r>
      <w:r w:rsidR="00AC4424">
        <w:t xml:space="preserve"> </w:t>
      </w:r>
      <w:r>
        <w:t>o</w:t>
      </w:r>
      <w:r w:rsidR="00E81CAC">
        <w:t>m offentlig kontroll av livsmedel.</w:t>
      </w:r>
    </w:p>
    <w:p w14:paraId="3CEB370A" w14:textId="77777777" w:rsidR="00162A7C" w:rsidRDefault="00162A7C" w:rsidP="00162A7C">
      <w:pPr>
        <w:pStyle w:val="Liststycke"/>
        <w:numPr>
          <w:ilvl w:val="0"/>
          <w:numId w:val="8"/>
        </w:numPr>
      </w:pPr>
      <w:r>
        <w:t xml:space="preserve">eventuell plan för kontroll av den enskilda verksamheten. </w:t>
      </w:r>
    </w:p>
    <w:p w14:paraId="26AB4257" w14:textId="77777777" w:rsidR="00162A7C" w:rsidRDefault="00162A7C" w:rsidP="00162A7C">
      <w:r>
        <w:t xml:space="preserve">Med stöd av underlagen bör det framgå vad som är aktuellt att kontrollera vid den specifika kontrollen som ska förberedas. </w:t>
      </w:r>
    </w:p>
    <w:p w14:paraId="131CD6EE" w14:textId="77777777" w:rsidR="00162A7C" w:rsidRDefault="00162A7C" w:rsidP="00162A7C">
      <w:r>
        <w:t xml:space="preserve">Läs mer om den nationella kontrollplanen, om målen för livsmedelskontrollen och om myndighetens kontrollplan: </w:t>
      </w:r>
    </w:p>
    <w:p w14:paraId="546E1B56" w14:textId="77777777" w:rsidR="00162A7C" w:rsidRDefault="00162A7C" w:rsidP="00162A7C">
      <w:hyperlink r:id="rId16" w:history="1">
        <w:r w:rsidRPr="00EB0CFB">
          <w:rPr>
            <w:rStyle w:val="Hyperlnk"/>
          </w:rPr>
          <w:t>Nationella kontrollplanen</w:t>
        </w:r>
      </w:hyperlink>
    </w:p>
    <w:p w14:paraId="1F1B98E5" w14:textId="77777777" w:rsidR="00162A7C" w:rsidRDefault="00162A7C" w:rsidP="00162A7C">
      <w:hyperlink r:id="rId17" w:history="1">
        <w:r w:rsidRPr="00A603B9">
          <w:rPr>
            <w:rStyle w:val="Hyperlnk"/>
          </w:rPr>
          <w:t>Planera kontroll av livsmedelsföretag</w:t>
        </w:r>
      </w:hyperlink>
      <w:r>
        <w:t xml:space="preserve"> </w:t>
      </w:r>
    </w:p>
    <w:p w14:paraId="00C55D31" w14:textId="18984218" w:rsidR="00162A7C" w:rsidRDefault="00162A7C" w:rsidP="00162A7C">
      <w:r w:rsidRPr="007C2495">
        <w:t>När</w:t>
      </w:r>
      <w:r>
        <w:t xml:space="preserve"> det rör sig om </w:t>
      </w:r>
      <w:r w:rsidR="002B1D6F">
        <w:t xml:space="preserve">en </w:t>
      </w:r>
      <w:r>
        <w:t xml:space="preserve">händelsestyrd eller uppföljande kontroll finns underlaget för förberedelsen i stället i det aktuella ärendet som </w:t>
      </w:r>
      <w:r w:rsidR="007C2495">
        <w:t xml:space="preserve">är anledning till </w:t>
      </w:r>
      <w:r>
        <w:t>kontrollen.</w:t>
      </w:r>
    </w:p>
    <w:p w14:paraId="2E94C5AB" w14:textId="1F70418A" w:rsidR="00162A7C" w:rsidRPr="00F53F0D" w:rsidRDefault="00162A7C" w:rsidP="00162A7C">
      <w:r w:rsidRPr="00F53F0D">
        <w:t xml:space="preserve">Här är exempel på </w:t>
      </w:r>
      <w:r w:rsidR="007C2495" w:rsidRPr="00F53F0D">
        <w:t>frågor att besvara inför</w:t>
      </w:r>
      <w:r w:rsidRPr="00F53F0D">
        <w:t xml:space="preserve"> det enskilda kontrolltillfället:</w:t>
      </w:r>
    </w:p>
    <w:p w14:paraId="1C6FF2B0"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Vad ska kontrolleras, vilka processer eller aktiviteter och mot vilka krav?</w:t>
      </w:r>
    </w:p>
    <w:p w14:paraId="0DBE0672"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Vilken kontrollmetod ska användas och vilken utrustning behövs? </w:t>
      </w:r>
    </w:p>
    <w:p w14:paraId="4E09FD98"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Ska provtagning göras? </w:t>
      </w:r>
    </w:p>
    <w:p w14:paraId="70529EEC"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Platsbesök eller distanskontroll? </w:t>
      </w:r>
    </w:p>
    <w:p w14:paraId="2CA7BF11" w14:textId="366BF182" w:rsidR="00162A7C" w:rsidRPr="00F53F0D" w:rsidRDefault="007C2495"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Behöver an</w:t>
      </w:r>
      <w:r w:rsidR="00162A7C" w:rsidRPr="00F53F0D">
        <w:t>dra hänsyn tas, till exempel tillgänglighet, geografiska eller praktiska förutsättningar?</w:t>
      </w:r>
    </w:p>
    <w:p w14:paraId="3A59C86B" w14:textId="365BD9BE" w:rsidR="00162A7C" w:rsidRPr="00F53F0D" w:rsidRDefault="003E424B"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Hur ska kontrollen genomföras, o</w:t>
      </w:r>
      <w:r w:rsidR="00162A7C" w:rsidRPr="00F53F0D">
        <w:t>anmäld eller föranmäld?</w:t>
      </w:r>
    </w:p>
    <w:p w14:paraId="326A14F3" w14:textId="77777777" w:rsidR="00536ACA"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Finns det andra verksamheter som är lämpliga att kontrollera i samband med denna kontroll?</w:t>
      </w:r>
    </w:p>
    <w:p w14:paraId="41964973" w14:textId="2243652C" w:rsidR="00E81CAC" w:rsidRDefault="00536ACA"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Vilka är </w:t>
      </w:r>
      <w:r w:rsidR="00162A7C" w:rsidRPr="00F53F0D">
        <w:t xml:space="preserve">de mest sannolika scenarierna för det som kontrolleras och hur </w:t>
      </w:r>
      <w:r w:rsidRPr="00F53F0D">
        <w:t xml:space="preserve">ska </w:t>
      </w:r>
      <w:r w:rsidR="00162A7C" w:rsidRPr="00F53F0D">
        <w:t>dessa bedömas</w:t>
      </w:r>
      <w:r w:rsidRPr="00F53F0D">
        <w:t>?</w:t>
      </w:r>
      <w:r w:rsidR="00162A7C" w:rsidRPr="00F53F0D">
        <w:t xml:space="preserve"> </w:t>
      </w:r>
    </w:p>
    <w:p w14:paraId="553084D6" w14:textId="77777777" w:rsidR="001B19C3" w:rsidRDefault="001B19C3" w:rsidP="001B19C3"/>
    <w:p w14:paraId="62E2C70E" w14:textId="77777777" w:rsidR="00162A7C" w:rsidRDefault="00162A7C" w:rsidP="00162A7C">
      <w:r>
        <w:t>Mer stöd för planeringen finns på sidorna:</w:t>
      </w:r>
    </w:p>
    <w:p w14:paraId="30FB4C03" w14:textId="77777777" w:rsidR="00162A7C" w:rsidRDefault="00162A7C" w:rsidP="00162A7C">
      <w:r w:rsidRPr="26D5C9E5">
        <w:rPr>
          <w:color w:val="BF8F00" w:themeColor="accent4" w:themeShade="BF"/>
        </w:rPr>
        <w:t xml:space="preserve">Föranmäld eller oanmäld kontroll </w:t>
      </w:r>
      <w:r>
        <w:t>[länk till sida på gång]</w:t>
      </w:r>
    </w:p>
    <w:p w14:paraId="339FE675" w14:textId="77777777" w:rsidR="00162A7C" w:rsidRDefault="00162A7C" w:rsidP="00162A7C">
      <w:hyperlink r:id="rId18" w:history="1">
        <w:r w:rsidRPr="00A3515D">
          <w:rPr>
            <w:rStyle w:val="Hyperlnk"/>
          </w:rPr>
          <w:t>Metoder och tekniker för att utföra offentlig livsmedelskontroll</w:t>
        </w:r>
      </w:hyperlink>
    </w:p>
    <w:p w14:paraId="1858E867" w14:textId="77777777" w:rsidR="00162A7C" w:rsidRDefault="00162A7C" w:rsidP="00162A7C">
      <w:hyperlink r:id="rId19" w:history="1">
        <w:r>
          <w:rPr>
            <w:rStyle w:val="Hyperlnk"/>
          </w:rPr>
          <w:t>Prioritering vid k</w:t>
        </w:r>
        <w:r w:rsidRPr="00A3515D">
          <w:rPr>
            <w:rStyle w:val="Hyperlnk"/>
          </w:rPr>
          <w:t>ontroll av information och märkning</w:t>
        </w:r>
      </w:hyperlink>
    </w:p>
    <w:p w14:paraId="25D87F5A" w14:textId="77777777" w:rsidR="00162A7C" w:rsidRDefault="00162A7C" w:rsidP="00162A7C">
      <w:hyperlink r:id="rId20" w:history="1">
        <w:r w:rsidRPr="005A4244">
          <w:rPr>
            <w:rStyle w:val="Hyperlnk"/>
          </w:rPr>
          <w:t>Kontroll med fokus på hälsorisker</w:t>
        </w:r>
      </w:hyperlink>
    </w:p>
    <w:p w14:paraId="7D9A618E" w14:textId="77777777" w:rsidR="00162A7C" w:rsidRDefault="00162A7C" w:rsidP="00162A7C">
      <w:hyperlink r:id="rId21" w:anchor="kontroll-for-att-upptacka-och-motverka-livsmedelsbedrageri" w:history="1">
        <w:r>
          <w:rPr>
            <w:rStyle w:val="Hyperlnk"/>
          </w:rPr>
          <w:t>K</w:t>
        </w:r>
        <w:r w:rsidRPr="00961C9C">
          <w:rPr>
            <w:rStyle w:val="Hyperlnk"/>
          </w:rPr>
          <w:t xml:space="preserve">ontroll för att </w:t>
        </w:r>
        <w:r>
          <w:rPr>
            <w:rStyle w:val="Hyperlnk"/>
          </w:rPr>
          <w:t xml:space="preserve">upptäcka och </w:t>
        </w:r>
        <w:r w:rsidRPr="00961C9C">
          <w:rPr>
            <w:rStyle w:val="Hyperlnk"/>
          </w:rPr>
          <w:t>motverka livsmedelsbedrägeri</w:t>
        </w:r>
      </w:hyperlink>
    </w:p>
    <w:p w14:paraId="269D77D4" w14:textId="77777777" w:rsidR="00162A7C" w:rsidRPr="00DE505A" w:rsidRDefault="00162A7C" w:rsidP="00162A7C">
      <w:hyperlink r:id="rId22">
        <w:r w:rsidRPr="26D5C9E5">
          <w:rPr>
            <w:rStyle w:val="Hyperlnk"/>
          </w:rPr>
          <w:t>Förbereda och genomföra provtagning</w:t>
        </w:r>
      </w:hyperlink>
    </w:p>
    <w:p w14:paraId="020AC195" w14:textId="77777777" w:rsidR="00162A7C" w:rsidRDefault="00162A7C" w:rsidP="00162A7C">
      <w:pPr>
        <w:pStyle w:val="Rubrik2"/>
      </w:pPr>
    </w:p>
    <w:p w14:paraId="71B12221" w14:textId="7F3F7462" w:rsidR="00162A7C" w:rsidRDefault="00162A7C" w:rsidP="00162A7C">
      <w:pPr>
        <w:pStyle w:val="Rubrik2"/>
      </w:pPr>
      <w:r w:rsidRPr="002B1D6F">
        <w:t>Inled</w:t>
      </w:r>
      <w:r w:rsidR="003E424B">
        <w:t>ning av</w:t>
      </w:r>
      <w:r>
        <w:t xml:space="preserve"> kontrollen</w:t>
      </w:r>
    </w:p>
    <w:p w14:paraId="33774440" w14:textId="25062440" w:rsidR="00162A7C" w:rsidRDefault="00162A7C" w:rsidP="00162A7C">
      <w:r>
        <w:t xml:space="preserve">En kontroll bör inledas med att inspektören tar kontakt med </w:t>
      </w:r>
      <w:r w:rsidR="00536ACA">
        <w:t xml:space="preserve">företrädare för </w:t>
      </w:r>
      <w:r w:rsidR="004E20B0">
        <w:t>verksamheten. Det kan vara</w:t>
      </w:r>
      <w:r>
        <w:t xml:space="preserve"> </w:t>
      </w:r>
      <w:r w:rsidR="004E20B0">
        <w:t xml:space="preserve">ägaren, </w:t>
      </w:r>
      <w:r>
        <w:t>platschef</w:t>
      </w:r>
      <w:r w:rsidR="00536ACA">
        <w:t>en</w:t>
      </w:r>
      <w:r>
        <w:t xml:space="preserve"> eller </w:t>
      </w:r>
      <w:r w:rsidR="0006734F">
        <w:t xml:space="preserve">annan </w:t>
      </w:r>
      <w:r w:rsidR="00536ACA">
        <w:t>lämplig person</w:t>
      </w:r>
      <w:r w:rsidR="004E20B0">
        <w:t>.</w:t>
      </w:r>
    </w:p>
    <w:p w14:paraId="01822A30" w14:textId="5D97E986" w:rsidR="00162A7C" w:rsidRPr="00194913" w:rsidDel="00CA2DF8" w:rsidRDefault="00162A7C" w:rsidP="00162A7C">
      <w:r>
        <w:t xml:space="preserve">Syftet med det här momentet är att informera om hur kontrollen kommer att genomföras, hur lång tid </w:t>
      </w:r>
      <w:r w:rsidR="002B1D6F">
        <w:t xml:space="preserve">den </w:t>
      </w:r>
      <w:r>
        <w:t xml:space="preserve">beräknas ta och vad som ska kontrolleras. Avsikten </w:t>
      </w:r>
      <w:r w:rsidR="002B1D6F">
        <w:t xml:space="preserve">är </w:t>
      </w:r>
      <w:r>
        <w:t xml:space="preserve">att skapa en </w:t>
      </w:r>
      <w:r w:rsidR="004E20B0">
        <w:t>god r</w:t>
      </w:r>
      <w:r>
        <w:t>elation med den som kontrolleras</w:t>
      </w:r>
      <w:r w:rsidR="002B1D6F">
        <w:t xml:space="preserve"> genom rätt och tydlig information</w:t>
      </w:r>
      <w:r>
        <w:t>. Det är viktigt att det finns utrymme för verksamhetsutövaren att fråga om vad som ska ske.</w:t>
      </w:r>
      <w:r w:rsidRPr="00CA2DF8">
        <w:t xml:space="preserve"> </w:t>
      </w:r>
      <w:r>
        <w:t xml:space="preserve">Det gäller inte minst när kontrollen sker oanmält. </w:t>
      </w:r>
      <w:r w:rsidDel="00CA2DF8">
        <w:t xml:space="preserve">Det är också viktigt att det tydligt framgår att verksamhetsutövaren har möjlighet att ställa frågor under </w:t>
      </w:r>
      <w:r w:rsidR="004E20B0">
        <w:t>kontrolltillfället.</w:t>
      </w:r>
      <w:r>
        <w:t xml:space="preserve"> Hur det inledande mötet utformas kan behöva anpassas till syftet med kontrollen.</w:t>
      </w:r>
    </w:p>
    <w:p w14:paraId="79992C3B" w14:textId="1D2C18AA" w:rsidR="00162A7C" w:rsidRPr="00194913" w:rsidRDefault="00162A7C" w:rsidP="00162A7C">
      <w:r>
        <w:t xml:space="preserve">Inspektören ska också informera om att resultatet kommer att sammanfattas i slutet </w:t>
      </w:r>
      <w:r w:rsidRPr="004663C2">
        <w:t>av besöket</w:t>
      </w:r>
      <w:r w:rsidR="004E20B0">
        <w:t xml:space="preserve"> och </w:t>
      </w:r>
      <w:r w:rsidR="00536ACA">
        <w:t xml:space="preserve">att </w:t>
      </w:r>
      <w:r w:rsidR="004E20B0">
        <w:t>en kontrollrapport kommer att skrivas.</w:t>
      </w:r>
    </w:p>
    <w:p w14:paraId="10EC4674" w14:textId="0BCFDA70" w:rsidR="00162A7C" w:rsidRDefault="00162A7C" w:rsidP="00162A7C">
      <w:r>
        <w:t>Läs mer om samtal i kontrollprocessen:</w:t>
      </w:r>
    </w:p>
    <w:bookmarkStart w:id="1" w:name="_Hlk226724394"/>
    <w:p w14:paraId="00CF44FC" w14:textId="6532947B" w:rsidR="00412A9A" w:rsidRDefault="00412A9A" w:rsidP="00412A9A">
      <w:r>
        <w:fldChar w:fldCharType="begin"/>
      </w:r>
      <w:r>
        <w:instrText>HYPERLINK "https://kontrollwiki.livsmedelsverket.se/artikel/557/samtala-i-kontrollprocessen"</w:instrText>
      </w:r>
      <w:r>
        <w:fldChar w:fldCharType="separate"/>
      </w:r>
      <w:r w:rsidRPr="00412A9A">
        <w:rPr>
          <w:rStyle w:val="Hyperlnk"/>
        </w:rPr>
        <w:t>Samtala i kontrollprocessen</w:t>
      </w:r>
      <w:r>
        <w:fldChar w:fldCharType="end"/>
      </w:r>
    </w:p>
    <w:bookmarkEnd w:id="1"/>
    <w:p w14:paraId="46192FAB" w14:textId="58B2384B" w:rsidR="00412A9A" w:rsidRDefault="00412A9A" w:rsidP="00162A7C">
      <w:pPr>
        <w:spacing w:after="0"/>
      </w:pPr>
      <w:r>
        <w:fldChar w:fldCharType="begin"/>
      </w:r>
      <w:r>
        <w:instrText>HYPERLINK "https://kontrollwiki.livsmedelsverket.se/artikel/558/samtalsmetodik-och-samtalstekniker"</w:instrText>
      </w:r>
      <w:r>
        <w:fldChar w:fldCharType="separate"/>
      </w:r>
      <w:r w:rsidRPr="00412A9A">
        <w:rPr>
          <w:rStyle w:val="Hyperlnk"/>
        </w:rPr>
        <w:t>Samtalsmetodik och samtalstekniker</w:t>
      </w:r>
      <w:r>
        <w:fldChar w:fldCharType="end"/>
      </w:r>
    </w:p>
    <w:p w14:paraId="1990ACE9" w14:textId="77777777" w:rsidR="00162A7C" w:rsidRDefault="00162A7C" w:rsidP="00162A7C">
      <w:pPr>
        <w:spacing w:after="0"/>
        <w:rPr>
          <w:rFonts w:ascii="Calibri" w:eastAsia="Calibri" w:hAnsi="Calibri" w:cs="Calibri"/>
          <w:color w:val="000000" w:themeColor="text1"/>
          <w:sz w:val="24"/>
          <w:szCs w:val="24"/>
        </w:rPr>
      </w:pPr>
    </w:p>
    <w:p w14:paraId="628311FD" w14:textId="4E3B1975" w:rsidR="00162A7C" w:rsidRDefault="00162A7C" w:rsidP="00162A7C">
      <w:pPr>
        <w:pStyle w:val="Rubrik2"/>
      </w:pPr>
      <w:r w:rsidRPr="007F68D4">
        <w:t>Grans</w:t>
      </w:r>
      <w:r w:rsidR="0046677C">
        <w:t>kning</w:t>
      </w:r>
      <w:r w:rsidRPr="007F68D4">
        <w:t xml:space="preserve"> och värder</w:t>
      </w:r>
      <w:r w:rsidR="0046677C">
        <w:t>ing</w:t>
      </w:r>
    </w:p>
    <w:p w14:paraId="5955F16C" w14:textId="5A347380" w:rsidR="00162A7C" w:rsidRPr="007F68D4" w:rsidRDefault="00162A7C" w:rsidP="00162A7C">
      <w:r w:rsidRPr="00D15FB6">
        <w:t>Huvuddelen av kontroll</w:t>
      </w:r>
      <w:r w:rsidR="004E20B0">
        <w:t>tillfället</w:t>
      </w:r>
      <w:r w:rsidRPr="007F68D4">
        <w:t xml:space="preserve"> </w:t>
      </w:r>
      <w:r w:rsidR="000E2D2D">
        <w:t>innebär</w:t>
      </w:r>
      <w:r w:rsidRPr="007F68D4">
        <w:t xml:space="preserve"> att inspektören samlar in </w:t>
      </w:r>
      <w:r w:rsidR="00883D95">
        <w:t>fakta</w:t>
      </w:r>
      <w:r w:rsidRPr="007F68D4">
        <w:t xml:space="preserve"> </w:t>
      </w:r>
      <w:r w:rsidR="00883D95">
        <w:t>in</w:t>
      </w:r>
      <w:r w:rsidRPr="007F68D4">
        <w:t xml:space="preserve">för bedömning av om verksamheten uppfyller kraven inom de områden kontrollen </w:t>
      </w:r>
      <w:r w:rsidR="000E2D2D">
        <w:t>gäller</w:t>
      </w:r>
      <w:r w:rsidRPr="007F68D4">
        <w:t xml:space="preserve">. Olika </w:t>
      </w:r>
      <w:r>
        <w:t>kontroll</w:t>
      </w:r>
      <w:r w:rsidRPr="007F68D4">
        <w:t xml:space="preserve">metoder kan användas, exempelvis att titta, mäta, intervjua ansvarig och de som utför momenten, granska </w:t>
      </w:r>
      <w:r w:rsidRPr="00D15FB6">
        <w:t>företagets</w:t>
      </w:r>
      <w:r>
        <w:t xml:space="preserve"> </w:t>
      </w:r>
      <w:r w:rsidRPr="007F68D4">
        <w:t>dokum</w:t>
      </w:r>
      <w:r>
        <w:t>entation</w:t>
      </w:r>
      <w:r w:rsidRPr="007F68D4">
        <w:t>, granska livsmedels</w:t>
      </w:r>
      <w:r>
        <w:softHyphen/>
      </w:r>
      <w:r w:rsidRPr="007F68D4">
        <w:t xml:space="preserve">information eller </w:t>
      </w:r>
      <w:r>
        <w:t>ta prover för analys.</w:t>
      </w:r>
    </w:p>
    <w:p w14:paraId="511BA642" w14:textId="77777777" w:rsidR="00162A7C" w:rsidRDefault="00162A7C" w:rsidP="00162A7C">
      <w:r>
        <w:t>Läs mer om kontrollmetoder här:</w:t>
      </w:r>
    </w:p>
    <w:p w14:paraId="2CC60CA4" w14:textId="77777777" w:rsidR="00162A7C" w:rsidRDefault="00162A7C" w:rsidP="00162A7C">
      <w:hyperlink r:id="rId23" w:history="1">
        <w:r w:rsidRPr="00F93F73">
          <w:rPr>
            <w:rStyle w:val="Hyperlnk"/>
          </w:rPr>
          <w:t>Metoder och tekniker för att utföra offentlig livsmedelskontroll</w:t>
        </w:r>
      </w:hyperlink>
    </w:p>
    <w:p w14:paraId="5702ADC5" w14:textId="2AA4C8C5" w:rsidR="00162A7C" w:rsidRDefault="00162A7C" w:rsidP="00162A7C">
      <w:hyperlink r:id="rId24" w:history="1">
        <w:r w:rsidRPr="79E7403D">
          <w:rPr>
            <w:rStyle w:val="Hyperlnk"/>
          </w:rPr>
          <w:t>Provtagning och analys i offentlig kontroll</w:t>
        </w:r>
      </w:hyperlink>
    </w:p>
    <w:p w14:paraId="76D54176" w14:textId="3FC646DB" w:rsidR="00162A7C" w:rsidRDefault="00162A7C" w:rsidP="00536ACA">
      <w:r w:rsidRPr="002C64A7">
        <w:t>För</w:t>
      </w:r>
      <w:r>
        <w:t xml:space="preserve"> vart och ett av de områden som kontrolleras gör inspektören en sammanvägd bedömning. Är den sammantagna bedömningen av området att det</w:t>
      </w:r>
      <w:r w:rsidR="00883D95">
        <w:t xml:space="preserve"> finns en eller flera </w:t>
      </w:r>
      <w:r>
        <w:t>avvikelse</w:t>
      </w:r>
      <w:r w:rsidR="00883D95">
        <w:t>r</w:t>
      </w:r>
      <w:r>
        <w:t xml:space="preserve">? Om det finns avvikelser, vad är i så fall omfattningen? </w:t>
      </w:r>
      <w:r w:rsidR="002C64A7">
        <w:t>M</w:t>
      </w:r>
      <w:r>
        <w:t xml:space="preserve">yndigheten </w:t>
      </w:r>
      <w:r w:rsidR="002C64A7">
        <w:t xml:space="preserve">bör </w:t>
      </w:r>
      <w:r>
        <w:t xml:space="preserve">försöka ta reda på orsakerna till </w:t>
      </w:r>
      <w:r w:rsidR="002C64A7">
        <w:t>avvikelse</w:t>
      </w:r>
      <w:r w:rsidR="00536ACA">
        <w:t>r</w:t>
      </w:r>
      <w:r>
        <w:t xml:space="preserve">, till exempel om det beror på otydliga instruktioner eller avsiktligt livsmedelsbedrägeri. </w:t>
      </w:r>
      <w:r w:rsidRPr="00D15FB6">
        <w:t>D</w:t>
      </w:r>
      <w:r w:rsidR="002C64A7" w:rsidRPr="00D15FB6">
        <w:t xml:space="preserve">et hjälper myndigheten att </w:t>
      </w:r>
      <w:r w:rsidRPr="00D15FB6">
        <w:t xml:space="preserve">avgöra </w:t>
      </w:r>
      <w:r w:rsidR="002C64A7" w:rsidRPr="00D15FB6">
        <w:t xml:space="preserve">och bedöma </w:t>
      </w:r>
      <w:r w:rsidRPr="00D15FB6">
        <w:t>vilka åtgärder som är lämpliga.</w:t>
      </w:r>
      <w:r w:rsidRPr="001346C0">
        <w:rPr>
          <w:highlight w:val="yellow"/>
        </w:rPr>
        <w:t xml:space="preserve"> </w:t>
      </w:r>
    </w:p>
    <w:p w14:paraId="0E1873A2" w14:textId="77777777" w:rsidR="008C279F" w:rsidRDefault="00162A7C" w:rsidP="00162A7C">
      <w:r>
        <w:t xml:space="preserve">Vid det sammanfattande samtalet </w:t>
      </w:r>
      <w:r w:rsidR="002C64A7">
        <w:t xml:space="preserve">går inspektören igenom med </w:t>
      </w:r>
      <w:r w:rsidR="0046677C" w:rsidRPr="00536ACA">
        <w:t>företräda</w:t>
      </w:r>
      <w:r w:rsidR="00536ACA" w:rsidRPr="00536ACA">
        <w:t>r</w:t>
      </w:r>
      <w:r w:rsidR="0046677C" w:rsidRPr="00536ACA">
        <w:t>e för verksamheten</w:t>
      </w:r>
      <w:r w:rsidR="0046677C">
        <w:t xml:space="preserve"> </w:t>
      </w:r>
      <w:r w:rsidR="002C64A7">
        <w:t>vad</w:t>
      </w:r>
      <w:r>
        <w:t xml:space="preserve"> som har kontrollerats, vilka avvikelser som har identifierats, motivering till dessa och förklaring av regler och risker. </w:t>
      </w:r>
      <w:r w:rsidR="0006734F">
        <w:t>Företrädaren</w:t>
      </w:r>
      <w:r>
        <w:t xml:space="preserve"> får då möjlighet att lämna synpunkter, ställa frågor och </w:t>
      </w:r>
      <w:r w:rsidRPr="00D15FB6">
        <w:t>få råd och stöd</w:t>
      </w:r>
      <w:r>
        <w:t>. Det</w:t>
      </w:r>
      <w:r w:rsidR="008C279F">
        <w:t>ta</w:t>
      </w:r>
      <w:r>
        <w:t xml:space="preserve"> kan på ett enkelt sätt öka förståelse</w:t>
      </w:r>
      <w:r w:rsidR="008C279F">
        <w:t>n</w:t>
      </w:r>
      <w:r>
        <w:t xml:space="preserve"> för vad som behöver göras och varför</w:t>
      </w:r>
      <w:r w:rsidR="002C64A7">
        <w:t>,</w:t>
      </w:r>
      <w:r w:rsidDel="00B8131A">
        <w:t xml:space="preserve"> </w:t>
      </w:r>
      <w:r>
        <w:t>men också reda ut eventuella missförstånd. Inspektören ska dock vara försiktig så att den</w:t>
      </w:r>
      <w:r w:rsidR="008B1C40">
        <w:t>ne</w:t>
      </w:r>
      <w:r>
        <w:t xml:space="preserve"> inte formulerar sig så att beskrivningen av avvikelserna uppfattas som krav </w:t>
      </w:r>
      <w:r w:rsidR="002D1399">
        <w:t>på hur avvikelsen ska åtgärdas.</w:t>
      </w:r>
      <w:r>
        <w:t xml:space="preserve"> </w:t>
      </w:r>
    </w:p>
    <w:p w14:paraId="6E3D415A" w14:textId="72268CE5" w:rsidR="00162A7C" w:rsidRDefault="00536ACA" w:rsidP="00162A7C">
      <w:r>
        <w:t xml:space="preserve">Det är också lämpligt att </w:t>
      </w:r>
      <w:r w:rsidR="008C279F">
        <w:t xml:space="preserve">inspektören redan nu </w:t>
      </w:r>
      <w:r w:rsidR="00162A7C">
        <w:t>inform</w:t>
      </w:r>
      <w:r>
        <w:t>era</w:t>
      </w:r>
      <w:r w:rsidR="008C279F">
        <w:t>r</w:t>
      </w:r>
      <w:r>
        <w:t xml:space="preserve"> </w:t>
      </w:r>
      <w:r w:rsidR="00162A7C">
        <w:t xml:space="preserve">om möjligheten att yttra sig </w:t>
      </w:r>
      <w:r w:rsidR="008B5828">
        <w:t>över innehållet</w:t>
      </w:r>
      <w:r w:rsidR="00162A7C">
        <w:t xml:space="preserve"> i kontrollrapporten.</w:t>
      </w:r>
    </w:p>
    <w:p w14:paraId="3F0112B4" w14:textId="6ED03582" w:rsidR="00162A7C" w:rsidRDefault="00162A7C" w:rsidP="00162A7C">
      <w:pPr>
        <w:rPr>
          <w:rFonts w:ascii="Aptos" w:eastAsia="Aptos" w:hAnsi="Aptos" w:cs="Aptos"/>
          <w:sz w:val="24"/>
          <w:szCs w:val="24"/>
        </w:rPr>
      </w:pPr>
      <w:r>
        <w:t xml:space="preserve">Efter samtalet ska </w:t>
      </w:r>
      <w:r w:rsidRPr="00536ACA">
        <w:t>verksamheten</w:t>
      </w:r>
      <w:r w:rsidR="002D1399" w:rsidRPr="00536ACA">
        <w:t>s</w:t>
      </w:r>
      <w:r w:rsidR="002D1399">
        <w:t xml:space="preserve"> företrädare</w:t>
      </w:r>
      <w:r>
        <w:t xml:space="preserve"> vara förberedd på vad </w:t>
      </w:r>
      <w:r w:rsidR="008B1C40">
        <w:t xml:space="preserve">som </w:t>
      </w:r>
      <w:r>
        <w:t xml:space="preserve">kommer att stå i kontrollrapporten. </w:t>
      </w:r>
    </w:p>
    <w:p w14:paraId="27376AB8" w14:textId="599B045F" w:rsidR="00162A7C" w:rsidRDefault="00162A7C" w:rsidP="00162A7C">
      <w:pPr>
        <w:rPr>
          <w:rFonts w:ascii="Aptos" w:eastAsia="Aptos" w:hAnsi="Aptos" w:cs="Aptos"/>
          <w:sz w:val="24"/>
          <w:szCs w:val="24"/>
        </w:rPr>
      </w:pPr>
      <w:r>
        <w:t xml:space="preserve">Det sammanfattande samtalet kan hållas i slutet av ett kontrollbesök på plats, </w:t>
      </w:r>
      <w:r w:rsidR="008B1C40">
        <w:t xml:space="preserve">eller </w:t>
      </w:r>
      <w:r w:rsidR="002D1399">
        <w:t xml:space="preserve">vid behov </w:t>
      </w:r>
      <w:r>
        <w:t>per telefon eller digitalt vid ett senare tillfälle kort efter kontrollbesöket.</w:t>
      </w:r>
    </w:p>
    <w:p w14:paraId="1405DAD4" w14:textId="77777777" w:rsidR="00162A7C" w:rsidRDefault="00162A7C" w:rsidP="00162A7C"/>
    <w:tbl>
      <w:tblPr>
        <w:tblStyle w:val="Tabellrutnt"/>
        <w:tblW w:w="0" w:type="auto"/>
        <w:tblLook w:val="06A0" w:firstRow="1" w:lastRow="0" w:firstColumn="1" w:lastColumn="0" w:noHBand="1" w:noVBand="1"/>
      </w:tblPr>
      <w:tblGrid>
        <w:gridCol w:w="9060"/>
      </w:tblGrid>
      <w:tr w:rsidR="00162A7C" w14:paraId="511E572B" w14:textId="77777777" w:rsidTr="006C1694">
        <w:trPr>
          <w:trHeight w:val="300"/>
        </w:trPr>
        <w:tc>
          <w:tcPr>
            <w:tcW w:w="9060" w:type="dxa"/>
            <w:shd w:val="clear" w:color="auto" w:fill="E2EFD9" w:themeFill="accent6" w:themeFillTint="33"/>
          </w:tcPr>
          <w:p w14:paraId="3FA8C385" w14:textId="77777777" w:rsidR="00162A7C" w:rsidRDefault="00162A7C" w:rsidP="006C1694">
            <w:pPr>
              <w:rPr>
                <w:rFonts w:ascii="Calibri" w:eastAsia="Calibri" w:hAnsi="Calibri" w:cs="Calibri"/>
                <w:color w:val="000000" w:themeColor="text1"/>
                <w:sz w:val="24"/>
                <w:szCs w:val="24"/>
              </w:rPr>
            </w:pPr>
            <w:r>
              <w:t>Exempel på hur det sammanfattande samtalet kan gå till:</w:t>
            </w:r>
          </w:p>
          <w:p w14:paraId="48618A40" w14:textId="77777777" w:rsidR="00162A7C" w:rsidRDefault="00162A7C" w:rsidP="006C1694"/>
          <w:p w14:paraId="61019749" w14:textId="45D813BF" w:rsidR="00162A7C" w:rsidRPr="00826E61" w:rsidRDefault="00162A7C" w:rsidP="00162A7C">
            <w:pPr>
              <w:pStyle w:val="Liststycke"/>
              <w:numPr>
                <w:ilvl w:val="0"/>
                <w:numId w:val="7"/>
              </w:numPr>
              <w:rPr>
                <w:rFonts w:ascii="Calibri" w:eastAsia="Calibri" w:hAnsi="Calibri" w:cs="Calibri"/>
                <w:color w:val="000000" w:themeColor="text1"/>
              </w:rPr>
            </w:pPr>
            <w:r w:rsidRPr="00826E61">
              <w:rPr>
                <w:rFonts w:ascii="Calibri" w:eastAsia="Calibri" w:hAnsi="Calibri" w:cs="Calibri"/>
                <w:color w:val="000000" w:themeColor="text1"/>
              </w:rPr>
              <w:t xml:space="preserve">När kontrollen är klar berättar inspektören kortfattat om vad hen har gjort och vad som är kontrollerat. Det är viktigt att resultatet av kontrollen presenteras </w:t>
            </w:r>
            <w:r w:rsidR="008B1C40" w:rsidRPr="00826E61">
              <w:rPr>
                <w:rFonts w:ascii="Calibri" w:eastAsia="Calibri" w:hAnsi="Calibri" w:cs="Calibri"/>
                <w:color w:val="000000" w:themeColor="text1"/>
              </w:rPr>
              <w:t xml:space="preserve">tydligt </w:t>
            </w:r>
            <w:r w:rsidRPr="00826E61">
              <w:rPr>
                <w:rFonts w:ascii="Calibri" w:eastAsia="Calibri" w:hAnsi="Calibri" w:cs="Calibri"/>
                <w:color w:val="000000" w:themeColor="text1"/>
              </w:rPr>
              <w:t>för verksamhetsutövaren. Inspektören redovisar sina slutsatser och om det finns avvikelser</w:t>
            </w:r>
            <w:r w:rsidR="008B1C40" w:rsidRPr="00826E61">
              <w:rPr>
                <w:rFonts w:ascii="Calibri" w:eastAsia="Calibri" w:hAnsi="Calibri" w:cs="Calibri"/>
                <w:color w:val="000000" w:themeColor="text1"/>
              </w:rPr>
              <w:t>,</w:t>
            </w:r>
            <w:r w:rsidRPr="00826E61">
              <w:rPr>
                <w:rFonts w:ascii="Calibri" w:eastAsia="Calibri" w:hAnsi="Calibri" w:cs="Calibri"/>
                <w:color w:val="000000" w:themeColor="text1"/>
              </w:rPr>
              <w:t xml:space="preserve"> vilka de är samt var i verksamheten de konstaterades. </w:t>
            </w:r>
          </w:p>
          <w:p w14:paraId="1515A3CA" w14:textId="77777777" w:rsidR="00162A7C" w:rsidRPr="00826E61" w:rsidRDefault="00162A7C" w:rsidP="006C1694">
            <w:pPr>
              <w:rPr>
                <w:rFonts w:ascii="Calibri" w:eastAsia="Calibri" w:hAnsi="Calibri" w:cs="Calibri"/>
                <w:color w:val="000000" w:themeColor="text1"/>
              </w:rPr>
            </w:pPr>
          </w:p>
          <w:p w14:paraId="7A392ECE" w14:textId="77777777" w:rsidR="00162A7C" w:rsidRPr="00826E61" w:rsidRDefault="00162A7C" w:rsidP="00162A7C">
            <w:pPr>
              <w:pStyle w:val="Liststycke"/>
              <w:numPr>
                <w:ilvl w:val="0"/>
                <w:numId w:val="7"/>
              </w:numPr>
              <w:rPr>
                <w:rFonts w:ascii="Calibri" w:eastAsia="Calibri" w:hAnsi="Calibri" w:cs="Calibri"/>
                <w:color w:val="000000" w:themeColor="text1"/>
              </w:rPr>
            </w:pPr>
            <w:r w:rsidRPr="00826E61">
              <w:rPr>
                <w:rFonts w:ascii="Calibri" w:eastAsia="Calibri" w:hAnsi="Calibri" w:cs="Calibri"/>
                <w:color w:val="000000" w:themeColor="text1"/>
              </w:rPr>
              <w:t xml:space="preserve">Inspektören berättar att verksamhetsutövaren kommer att få en kontrollrapport. </w:t>
            </w:r>
          </w:p>
          <w:p w14:paraId="7EC59E67" w14:textId="77777777" w:rsidR="00162A7C" w:rsidRDefault="00162A7C" w:rsidP="006C1694">
            <w:pPr>
              <w:rPr>
                <w:rFonts w:ascii="Calibri" w:eastAsia="Calibri" w:hAnsi="Calibri" w:cs="Calibri"/>
                <w:color w:val="000000" w:themeColor="text1"/>
                <w:sz w:val="24"/>
                <w:szCs w:val="24"/>
              </w:rPr>
            </w:pPr>
          </w:p>
          <w:p w14:paraId="7AD6A821" w14:textId="50A90BFA" w:rsidR="00162A7C" w:rsidRPr="002D1399" w:rsidRDefault="00162A7C" w:rsidP="00F22793">
            <w:pPr>
              <w:pStyle w:val="Liststycke"/>
              <w:numPr>
                <w:ilvl w:val="0"/>
                <w:numId w:val="7"/>
              </w:numPr>
              <w:rPr>
                <w:rFonts w:ascii="Calibri" w:eastAsia="Calibri" w:hAnsi="Calibri" w:cs="Calibri"/>
                <w:color w:val="000000" w:themeColor="text1"/>
                <w:sz w:val="24"/>
                <w:szCs w:val="24"/>
              </w:rPr>
            </w:pPr>
            <w:r>
              <w:t xml:space="preserve">Inspektören informerar om att verksamhetsutövaren kommer att få en viss tid på sig att yttra sig om </w:t>
            </w:r>
            <w:r w:rsidR="008B1C40">
              <w:t xml:space="preserve">denne </w:t>
            </w:r>
            <w:r>
              <w:t xml:space="preserve">tycker att något i rapporten är fel, om de har bestämt sig för hur och när de tänker åtgärda avvikelserna, alternativt om de redan har åtgärdat </w:t>
            </w:r>
            <w:r w:rsidR="008B1C40">
              <w:t xml:space="preserve">dem </w:t>
            </w:r>
            <w:r>
              <w:t xml:space="preserve">och i så fall hur. </w:t>
            </w:r>
          </w:p>
          <w:p w14:paraId="311B6541" w14:textId="77777777" w:rsidR="002D1399" w:rsidRPr="002D1399" w:rsidRDefault="002D1399" w:rsidP="002D1399">
            <w:pPr>
              <w:rPr>
                <w:rFonts w:ascii="Calibri" w:eastAsia="Calibri" w:hAnsi="Calibri" w:cs="Calibri"/>
                <w:color w:val="000000" w:themeColor="text1"/>
                <w:sz w:val="24"/>
                <w:szCs w:val="24"/>
              </w:rPr>
            </w:pPr>
          </w:p>
          <w:p w14:paraId="17FCFE17" w14:textId="79DB3B37" w:rsidR="00162A7C" w:rsidRDefault="00162A7C" w:rsidP="00162A7C">
            <w:pPr>
              <w:pStyle w:val="Liststycke"/>
              <w:numPr>
                <w:ilvl w:val="0"/>
                <w:numId w:val="7"/>
              </w:numPr>
            </w:pPr>
            <w:r>
              <w:t>Om verksamhet</w:t>
            </w:r>
            <w:r w:rsidR="007D1CA8">
              <w:t>ens representanter</w:t>
            </w:r>
            <w:r>
              <w:t xml:space="preserve"> under samtalet lämnar synpunkter på bedömningar, eller talar om vilka åtgärder</w:t>
            </w:r>
            <w:r w:rsidR="007D1CA8">
              <w:t xml:space="preserve"> de </w:t>
            </w:r>
            <w:r>
              <w:t xml:space="preserve">tänker vidta, dokumenterar inspektören detta för att lägga in </w:t>
            </w:r>
            <w:r w:rsidR="008B1C40">
              <w:t xml:space="preserve">det </w:t>
            </w:r>
            <w:r>
              <w:t xml:space="preserve">i kontrollrapporten. </w:t>
            </w:r>
          </w:p>
          <w:p w14:paraId="5FAC74D2" w14:textId="77777777" w:rsidR="00162A7C" w:rsidRDefault="00162A7C" w:rsidP="006C1694">
            <w:pPr>
              <w:pStyle w:val="Liststycke"/>
            </w:pPr>
          </w:p>
          <w:p w14:paraId="760A8C87" w14:textId="707FC08E" w:rsidR="00162A7C" w:rsidRDefault="00162A7C" w:rsidP="00162A7C">
            <w:pPr>
              <w:pStyle w:val="Liststycke"/>
              <w:numPr>
                <w:ilvl w:val="0"/>
                <w:numId w:val="7"/>
              </w:numPr>
            </w:pPr>
            <w:r>
              <w:t>I vissa fall kan inspektören behöva stämma av bedömningen av en iakttagelse med en kollega. Eftersom bedömningarna ska framgå i det sammanfattande samtalet ska inspektören i dessa fall informera om att inspektören kommer att återkomma efter att bedömningen stämts av med kollegan. Det sammanfattande samtalet kan sedan avslutas på telefon.</w:t>
            </w:r>
          </w:p>
          <w:p w14:paraId="0DBE1AFF" w14:textId="77777777" w:rsidR="00162A7C" w:rsidRDefault="00162A7C" w:rsidP="006C1694">
            <w:pPr>
              <w:rPr>
                <w:rFonts w:ascii="Calibri" w:eastAsia="Calibri" w:hAnsi="Calibri" w:cs="Calibri"/>
                <w:color w:val="000000" w:themeColor="text1"/>
                <w:sz w:val="24"/>
                <w:szCs w:val="24"/>
              </w:rPr>
            </w:pPr>
          </w:p>
        </w:tc>
      </w:tr>
    </w:tbl>
    <w:p w14:paraId="1402DEBF" w14:textId="77777777" w:rsidR="00162A7C" w:rsidRDefault="00162A7C" w:rsidP="00162A7C">
      <w:pPr>
        <w:spacing w:after="0"/>
        <w:rPr>
          <w:rFonts w:ascii="Calibri" w:eastAsia="Calibri" w:hAnsi="Calibri" w:cs="Calibri"/>
          <w:color w:val="000000" w:themeColor="text1"/>
          <w:sz w:val="24"/>
          <w:szCs w:val="24"/>
        </w:rPr>
      </w:pPr>
    </w:p>
    <w:p w14:paraId="407DCC1E" w14:textId="468BA792" w:rsidR="00412A9A" w:rsidRPr="00412A9A" w:rsidRDefault="00162A7C" w:rsidP="00412A9A">
      <w:pPr>
        <w:spacing w:after="0"/>
      </w:pPr>
      <w:r>
        <w:rPr>
          <w:rFonts w:ascii="Calibri" w:eastAsia="Calibri" w:hAnsi="Calibri" w:cs="Calibri"/>
          <w:color w:val="000000" w:themeColor="text1"/>
          <w:sz w:val="24"/>
          <w:szCs w:val="24"/>
        </w:rPr>
        <w:t>Läs mer om det avslutande samtalet:</w:t>
      </w:r>
    </w:p>
    <w:p w14:paraId="31345CB8" w14:textId="77777777" w:rsidR="00412A9A" w:rsidRDefault="00412A9A" w:rsidP="00162A7C">
      <w:pPr>
        <w:spacing w:after="0"/>
        <w:rPr>
          <w:rFonts w:ascii="Calibri" w:eastAsia="Calibri" w:hAnsi="Calibri" w:cs="Calibri"/>
          <w:color w:val="000000" w:themeColor="text1"/>
          <w:sz w:val="24"/>
          <w:szCs w:val="24"/>
        </w:rPr>
      </w:pPr>
    </w:p>
    <w:p w14:paraId="170B0B0D" w14:textId="77777777" w:rsidR="00412A9A" w:rsidRDefault="00412A9A" w:rsidP="00412A9A">
      <w:hyperlink r:id="rId25" w:history="1">
        <w:r w:rsidRPr="00412A9A">
          <w:rPr>
            <w:rStyle w:val="Hyperlnk"/>
          </w:rPr>
          <w:t>Samtala i kontrollprocessen</w:t>
        </w:r>
      </w:hyperlink>
    </w:p>
    <w:p w14:paraId="0B682810" w14:textId="77777777" w:rsidR="008C279F" w:rsidRPr="00412A9A" w:rsidRDefault="008C279F" w:rsidP="00412A9A"/>
    <w:p w14:paraId="10754808" w14:textId="77777777" w:rsidR="00162A7C" w:rsidRDefault="00162A7C" w:rsidP="00162A7C">
      <w:pPr>
        <w:pStyle w:val="Rubrik2"/>
      </w:pPr>
      <w:r>
        <w:t>Kontrollrapport utan avvikelse</w:t>
      </w:r>
    </w:p>
    <w:p w14:paraId="7E590CE1" w14:textId="10138897" w:rsidR="00162A7C" w:rsidRPr="00194913" w:rsidRDefault="00162A7C" w:rsidP="00162A7C">
      <w:pPr>
        <w:rPr>
          <w:highlight w:val="cyan"/>
        </w:rPr>
      </w:pPr>
      <w:r>
        <w:t xml:space="preserve">Om det inte </w:t>
      </w:r>
      <w:r w:rsidR="008B1C40">
        <w:t xml:space="preserve">har </w:t>
      </w:r>
      <w:r>
        <w:t xml:space="preserve">konstaterats några avvikelser vid </w:t>
      </w:r>
      <w:r w:rsidRPr="008B5828">
        <w:t>kontrollen</w:t>
      </w:r>
      <w:r>
        <w:t xml:space="preserve"> ska myndigheten skicka en kontrollrapport som informerar om det </w:t>
      </w:r>
      <w:r w:rsidR="002D1399">
        <w:t>och</w:t>
      </w:r>
      <w:r>
        <w:t xml:space="preserve"> om vad som </w:t>
      </w:r>
      <w:r w:rsidR="008B1C40">
        <w:t xml:space="preserve">har </w:t>
      </w:r>
      <w:r>
        <w:t xml:space="preserve">kontrollerats. </w:t>
      </w:r>
    </w:p>
    <w:p w14:paraId="395019DC" w14:textId="586BC193" w:rsidR="00162A7C" w:rsidRDefault="00162A7C" w:rsidP="00162A7C">
      <w:r>
        <w:t xml:space="preserve">Det kan finnas tillfällen när myndigheten </w:t>
      </w:r>
      <w:r w:rsidR="008B5828">
        <w:t xml:space="preserve">bör ge </w:t>
      </w:r>
      <w:r>
        <w:t xml:space="preserve">verksamhetsutövaren möjlighet att yttra sig även om kontrollen var </w:t>
      </w:r>
      <w:r w:rsidRPr="008B5828">
        <w:t>utan avvikelse. Andra saker som</w:t>
      </w:r>
      <w:r>
        <w:t xml:space="preserve"> nämns i rapporten kan komma att ligga till grund för</w:t>
      </w:r>
      <w:r w:rsidR="008B5828">
        <w:t xml:space="preserve"> andra</w:t>
      </w:r>
      <w:r>
        <w:t xml:space="preserve"> beslut. Exempelvis kan det gälla vilka aktiviteter som bedrivs i verksamheten, kopplat till riskklassningen.</w:t>
      </w:r>
    </w:p>
    <w:p w14:paraId="50FCEC28" w14:textId="77777777" w:rsidR="00162A7C" w:rsidRDefault="00162A7C" w:rsidP="00162A7C">
      <w:hyperlink r:id="rId26" w:history="1">
        <w:r w:rsidRPr="623D1971">
          <w:rPr>
            <w:rStyle w:val="Hyperlnk"/>
          </w:rPr>
          <w:t>Kontrollrapport</w:t>
        </w:r>
      </w:hyperlink>
    </w:p>
    <w:p w14:paraId="210E7B1C" w14:textId="5A664D10" w:rsidR="00162A7C" w:rsidRDefault="00162A7C" w:rsidP="00162A7C">
      <w:r>
        <w:t>Efter en kontrollrapport utan avvikelse är kontrolltillfället avslutat.</w:t>
      </w:r>
    </w:p>
    <w:p w14:paraId="4395A402" w14:textId="77777777" w:rsidR="00162A7C" w:rsidRDefault="00162A7C" w:rsidP="00162A7C">
      <w:pPr>
        <w:pStyle w:val="Rubrik2"/>
        <w:rPr>
          <w:highlight w:val="yellow"/>
        </w:rPr>
      </w:pPr>
      <w:r>
        <w:t>Kontrollrapport med avvikelse</w:t>
      </w:r>
    </w:p>
    <w:p w14:paraId="5EC1BB77" w14:textId="2DC57228" w:rsidR="00162A7C" w:rsidRPr="00194913" w:rsidRDefault="00162A7C" w:rsidP="00162A7C">
      <w:r>
        <w:t xml:space="preserve">Efter en kontroll med avvikelse ska myndigheten skicka en kontrollrapport som </w:t>
      </w:r>
      <w:r w:rsidRPr="008B5828">
        <w:t>tydligt beskriver v</w:t>
      </w:r>
      <w:r w:rsidR="008B1C40" w:rsidRPr="008B5828">
        <w:t xml:space="preserve">ilka    </w:t>
      </w:r>
      <w:r w:rsidRPr="008B5828">
        <w:t xml:space="preserve">regler myndigheten bedömer att </w:t>
      </w:r>
      <w:r w:rsidR="007D1CA8" w:rsidRPr="008B5828">
        <w:t xml:space="preserve">verksamhetsutövaren </w:t>
      </w:r>
      <w:r w:rsidRPr="008B5828">
        <w:t>inte lever upp till och varför, det vill säga beskriver vad som ligger till grund för bedömningen.</w:t>
      </w:r>
      <w:r w:rsidR="002D1399">
        <w:t xml:space="preserve"> Det ska också framgå av kontrollrapporten att verksamhetsutövaren kan yttra sig över innehållet. </w:t>
      </w:r>
    </w:p>
    <w:p w14:paraId="49419CCC" w14:textId="0AB9405A" w:rsidR="00162A7C" w:rsidRDefault="00162A7C" w:rsidP="00162A7C">
      <w:r>
        <w:t>Kontrollrapporten</w:t>
      </w:r>
      <w:r w:rsidR="008B5828">
        <w:t xml:space="preserve"> är inte ett beslut om åtgärd och</w:t>
      </w:r>
      <w:r>
        <w:t xml:space="preserve"> </w:t>
      </w:r>
      <w:r w:rsidR="008B5828" w:rsidRPr="004663C2">
        <w:t>ska därför</w:t>
      </w:r>
      <w:r w:rsidRPr="004663C2">
        <w:t xml:space="preserve"> inte innehålla några krav</w:t>
      </w:r>
      <w:r>
        <w:t xml:space="preserve"> på verksamhetsutövaren. Myndigheten ska därför inte använda några formuleringar om vad verksamhetsutövaren ska göra eller när uppföljning kommer att ske. Tidpunkt för uppföljning och hur uppföljningen ska göras planeras i ett senare skede.</w:t>
      </w:r>
    </w:p>
    <w:p w14:paraId="75290C68" w14:textId="221E00C1" w:rsidR="00162A7C" w:rsidRDefault="00162A7C" w:rsidP="00162A7C">
      <w:r>
        <w:t xml:space="preserve">Rapporten ska däremot innehålla uppgifter om vad verksamhetsutövaren eventuellt själv nämnt för åtgärdsförslag, inklusive tidpunkt för när dessa enligt verksamhetsutövaren kan vara genomförda. Att det är verksamhetsutövarens egna förslag till åtgärder ska tydligt framgå av rapporten. </w:t>
      </w:r>
      <w:r w:rsidR="002D1399" w:rsidRPr="002D1399">
        <w:t>Det bör framgå att verksamhetsutövaren kan ändra sina åtgärder</w:t>
      </w:r>
      <w:r w:rsidR="002D1399">
        <w:t xml:space="preserve">. </w:t>
      </w:r>
    </w:p>
    <w:p w14:paraId="42CDEADE" w14:textId="2F8D5B6E" w:rsidR="00162A7C" w:rsidRDefault="00162A7C" w:rsidP="00162A7C">
      <w:r w:rsidRPr="00586CED">
        <w:t xml:space="preserve">När kontrollrapporten innehåller information om vad verksamhetsutövarens representant har föreslagit </w:t>
      </w:r>
      <w:r w:rsidR="00582EAB" w:rsidRPr="00586CED">
        <w:t xml:space="preserve">för </w:t>
      </w:r>
      <w:r w:rsidRPr="00586CED">
        <w:t>åtgärder (inklusive tidpunkt för när dessa kan vara genomförda) bör det också framgå i rapporten om kontrollmyndigheten bedömer att de föreslagna åtgärderna är lämpliga och tillräckliga.</w:t>
      </w:r>
    </w:p>
    <w:p w14:paraId="7F77AC86" w14:textId="68AB7EF3" w:rsidR="00C45575" w:rsidRDefault="00162A7C" w:rsidP="00162A7C">
      <w:hyperlink r:id="rId27" w:history="1">
        <w:r w:rsidRPr="623D1971">
          <w:rPr>
            <w:rStyle w:val="Hyperlnk"/>
          </w:rPr>
          <w:t>Kontrollrapport</w:t>
        </w:r>
      </w:hyperlink>
    </w:p>
    <w:p w14:paraId="3BF8F8EF" w14:textId="77777777" w:rsidR="00F53F0D" w:rsidRDefault="00F53F0D" w:rsidP="00162A7C"/>
    <w:p w14:paraId="60114C1E" w14:textId="77777777" w:rsidR="00162A7C" w:rsidRDefault="00162A7C" w:rsidP="00162A7C">
      <w:pPr>
        <w:pStyle w:val="Rubrik2"/>
      </w:pPr>
      <w:hyperlink r:id="rId28" w:history="1"/>
      <w:r>
        <w:t xml:space="preserve">Kommunicering </w:t>
      </w:r>
    </w:p>
    <w:p w14:paraId="51041EA0" w14:textId="77777777" w:rsidR="00D87392" w:rsidRDefault="00162A7C" w:rsidP="00162A7C">
      <w:r w:rsidRPr="00450A0B">
        <w:t>Eftersom myndigheten kan komma att fatta ett beslut i ärendet är det viktig</w:t>
      </w:r>
      <w:r>
        <w:t>t</w:t>
      </w:r>
      <w:r w:rsidRPr="00450A0B">
        <w:t xml:space="preserve"> att säkerställa att </w:t>
      </w:r>
      <w:r>
        <w:t xml:space="preserve">verksamhetsutövaren </w:t>
      </w:r>
      <w:r w:rsidRPr="00450A0B">
        <w:t xml:space="preserve">får del av alla uppgifter och ges möjlighet att yttra sig. Det är myndigheten skyldig att göra enligt förvaltningslagen. </w:t>
      </w:r>
    </w:p>
    <w:p w14:paraId="6EA9151E" w14:textId="31396745" w:rsidR="00162A7C" w:rsidRDefault="00D87392" w:rsidP="00162A7C">
      <w:r>
        <w:t>Kontrollr</w:t>
      </w:r>
      <w:r w:rsidR="00582EAB">
        <w:t xml:space="preserve">apporten </w:t>
      </w:r>
      <w:r w:rsidR="00162A7C">
        <w:t xml:space="preserve">ska tala om </w:t>
      </w:r>
      <w:r w:rsidR="007D1CA8">
        <w:t xml:space="preserve">att </w:t>
      </w:r>
      <w:r w:rsidR="00162A7C">
        <w:t xml:space="preserve">verksamhetsutövaren har möjlighet att lämna synpunkter, och ange vilket datum som synpunkterna senast måste ha kommit in till myndigheten för att kunna tas med i den fortsatta handläggningen. </w:t>
      </w:r>
      <w:r w:rsidRPr="00D87392">
        <w:t>Kontrollrapporten kan fungera som en så kallad underrättelse inför beslut</w:t>
      </w:r>
      <w:r>
        <w:t xml:space="preserve">. </w:t>
      </w:r>
      <w:r w:rsidR="00162A7C">
        <w:t>Livsmedelsverket har tagit fram mallar för kontrollrapporter som är anpassade för att kunna används för kommunicering inför beslut.</w:t>
      </w:r>
      <w:r w:rsidRPr="00D87392">
        <w:t xml:space="preserve"> </w:t>
      </w:r>
    </w:p>
    <w:p w14:paraId="679C0AF8" w14:textId="77777777" w:rsidR="00162A7C" w:rsidRDefault="00162A7C" w:rsidP="00162A7C">
      <w:r>
        <w:t xml:space="preserve"> </w:t>
      </w:r>
      <w:hyperlink r:id="rId29" w:history="1">
        <w:r w:rsidRPr="623D1971">
          <w:rPr>
            <w:rStyle w:val="Hyperlnk"/>
          </w:rPr>
          <w:t>Kontrollrapport</w:t>
        </w:r>
      </w:hyperlink>
    </w:p>
    <w:p w14:paraId="685DBBA9" w14:textId="77777777" w:rsidR="00162A7C" w:rsidRDefault="00162A7C" w:rsidP="00162A7C">
      <w:r>
        <w:t>Läs mer om kommunicering på sidan om administrativa myndighetsåtgärder.</w:t>
      </w:r>
    </w:p>
    <w:p w14:paraId="4EF23CD1" w14:textId="163211FD" w:rsidR="00162A7C" w:rsidRDefault="00162A7C" w:rsidP="00F53F0D">
      <w:hyperlink r:id="rId30" w:anchor="att-kommunicera" w:history="1">
        <w:r>
          <w:rPr>
            <w:rStyle w:val="Hyperlnk"/>
          </w:rPr>
          <w:t xml:space="preserve">Administrativa myndighetsåtgärder </w:t>
        </w:r>
      </w:hyperlink>
    </w:p>
    <w:p w14:paraId="11DA12F4" w14:textId="77777777" w:rsidR="00F53F0D" w:rsidRDefault="00F53F0D" w:rsidP="00F53F0D"/>
    <w:p w14:paraId="3E140C25" w14:textId="26FD155F" w:rsidR="00162A7C" w:rsidRDefault="00162A7C" w:rsidP="00162A7C">
      <w:pPr>
        <w:pStyle w:val="Rubrik2"/>
      </w:pPr>
      <w:r>
        <w:t>Bedöm</w:t>
      </w:r>
      <w:r w:rsidR="007D1CA8">
        <w:t>ning</w:t>
      </w:r>
      <w:r>
        <w:t xml:space="preserve"> </w:t>
      </w:r>
      <w:r w:rsidR="007D1CA8">
        <w:t xml:space="preserve">av </w:t>
      </w:r>
      <w:r>
        <w:t>synpunkter och förslag</w:t>
      </w:r>
    </w:p>
    <w:p w14:paraId="2222C8B3" w14:textId="4209F5DA" w:rsidR="00162A7C" w:rsidRPr="00963FE5" w:rsidRDefault="00162A7C" w:rsidP="00162A7C">
      <w:r>
        <w:t xml:space="preserve">I de fall verksamhetsutövaren lämnar synpunkter eller förslag på åtgärder, muntligt eller skriftligt, ska myndigheten bedöma dessa innan ett beslut fattas. </w:t>
      </w:r>
    </w:p>
    <w:p w14:paraId="2B7A4C07" w14:textId="4B9875F6" w:rsidR="00162A7C" w:rsidRPr="00450A0B" w:rsidRDefault="00162A7C" w:rsidP="00162A7C">
      <w:pPr>
        <w:rPr>
          <w:b/>
          <w:bCs/>
        </w:rPr>
      </w:pPr>
      <w:r w:rsidRPr="00450A0B">
        <w:rPr>
          <w:b/>
          <w:bCs/>
        </w:rPr>
        <w:t>Det f</w:t>
      </w:r>
      <w:r w:rsidRPr="00450A0B">
        <w:rPr>
          <w:rFonts w:hint="eastAsia"/>
          <w:b/>
          <w:bCs/>
        </w:rPr>
        <w:t>ö</w:t>
      </w:r>
      <w:r w:rsidRPr="00450A0B">
        <w:rPr>
          <w:b/>
          <w:bCs/>
        </w:rPr>
        <w:t xml:space="preserve">rsta steget </w:t>
      </w:r>
      <w:r w:rsidRPr="00450A0B">
        <w:rPr>
          <w:rFonts w:hint="eastAsia"/>
          <w:b/>
          <w:bCs/>
        </w:rPr>
        <w:t>ä</w:t>
      </w:r>
      <w:r w:rsidRPr="00450A0B">
        <w:rPr>
          <w:b/>
          <w:bCs/>
        </w:rPr>
        <w:t xml:space="preserve">r att </w:t>
      </w:r>
      <w:r w:rsidR="00283D96">
        <w:rPr>
          <w:b/>
          <w:bCs/>
        </w:rPr>
        <w:t>ta ställning till om det fanns</w:t>
      </w:r>
      <w:r w:rsidR="00283D96" w:rsidRPr="00054199">
        <w:rPr>
          <w:b/>
          <w:bCs/>
        </w:rPr>
        <w:t xml:space="preserve"> </w:t>
      </w:r>
      <w:r w:rsidRPr="00054199">
        <w:rPr>
          <w:b/>
          <w:bCs/>
        </w:rPr>
        <w:t>avvikelse</w:t>
      </w:r>
      <w:r w:rsidR="00283D96" w:rsidRPr="00054199">
        <w:rPr>
          <w:b/>
          <w:bCs/>
        </w:rPr>
        <w:t>r</w:t>
      </w:r>
      <w:r w:rsidRPr="00450A0B">
        <w:rPr>
          <w:b/>
          <w:bCs/>
        </w:rPr>
        <w:t xml:space="preserve"> </w:t>
      </w:r>
      <w:r w:rsidR="00283D96">
        <w:rPr>
          <w:b/>
          <w:bCs/>
        </w:rPr>
        <w:t>vid kontrollen</w:t>
      </w:r>
    </w:p>
    <w:p w14:paraId="0DC36996" w14:textId="17416C57" w:rsidR="00162A7C" w:rsidRDefault="00162A7C" w:rsidP="00162A7C">
      <w:r>
        <w:t>I</w:t>
      </w:r>
      <w:r w:rsidR="008C279F">
        <w:t xml:space="preserve">bland kan synpunkterna leda till att den </w:t>
      </w:r>
      <w:r>
        <w:t>ursprungliga bedömningen ändras</w:t>
      </w:r>
      <w:r w:rsidR="008C279F">
        <w:t xml:space="preserve">. Det kan framkomma att något </w:t>
      </w:r>
      <w:r w:rsidR="00CF6120" w:rsidRPr="00CF6120">
        <w:t>varit felaktigt uppfattat</w:t>
      </w:r>
      <w:r w:rsidR="008C279F">
        <w:t xml:space="preserve"> eller bedömt. I så fall </w:t>
      </w:r>
      <w:r>
        <w:t>skickar myndigheten en skriftlig bekräftelse på detta till verksamhetsutövaren</w:t>
      </w:r>
      <w:r w:rsidR="008C279F">
        <w:t xml:space="preserve">, gärna </w:t>
      </w:r>
      <w:r>
        <w:t xml:space="preserve">genom en ny kontrollrapport som ersätter den tidigare. Myndigheten ändrar också, eller avskriver, avvikelsen i IT-stödsystemet. Hur detta görs rent praktiskt beror på det specifika IT-systemstöd som myndigheten har. </w:t>
      </w:r>
    </w:p>
    <w:p w14:paraId="1CB64615" w14:textId="6F7FD88E" w:rsidR="00162A7C" w:rsidRPr="00450A0B" w:rsidRDefault="008C279F" w:rsidP="008C279F">
      <w:pPr>
        <w:rPr>
          <w:b/>
          <w:bCs/>
        </w:rPr>
      </w:pPr>
      <w:r>
        <w:rPr>
          <w:b/>
          <w:bCs/>
        </w:rPr>
        <w:t>Nästa steg är b</w:t>
      </w:r>
      <w:r w:rsidR="00162A7C" w:rsidRPr="00450A0B">
        <w:rPr>
          <w:b/>
          <w:bCs/>
        </w:rPr>
        <w:t>ed</w:t>
      </w:r>
      <w:r w:rsidR="00162A7C" w:rsidRPr="00450A0B">
        <w:rPr>
          <w:rFonts w:hint="eastAsia"/>
          <w:b/>
          <w:bCs/>
        </w:rPr>
        <w:t>ö</w:t>
      </w:r>
      <w:r w:rsidR="00162A7C" w:rsidRPr="00450A0B">
        <w:rPr>
          <w:b/>
          <w:bCs/>
        </w:rPr>
        <w:t xml:space="preserve">mning av eventuella </w:t>
      </w:r>
      <w:r w:rsidR="00162A7C" w:rsidRPr="00450A0B">
        <w:rPr>
          <w:rFonts w:hint="eastAsia"/>
          <w:b/>
          <w:bCs/>
        </w:rPr>
        <w:t>å</w:t>
      </w:r>
      <w:r w:rsidR="00162A7C" w:rsidRPr="00450A0B">
        <w:rPr>
          <w:b/>
          <w:bCs/>
        </w:rPr>
        <w:t>tg</w:t>
      </w:r>
      <w:r w:rsidR="00162A7C" w:rsidRPr="00450A0B">
        <w:rPr>
          <w:rFonts w:hint="eastAsia"/>
          <w:b/>
          <w:bCs/>
        </w:rPr>
        <w:t>ä</w:t>
      </w:r>
      <w:r w:rsidR="00162A7C" w:rsidRPr="00450A0B">
        <w:rPr>
          <w:b/>
          <w:bCs/>
        </w:rPr>
        <w:t>rdsf</w:t>
      </w:r>
      <w:r w:rsidR="00162A7C" w:rsidRPr="00450A0B">
        <w:rPr>
          <w:rFonts w:hint="eastAsia"/>
          <w:b/>
          <w:bCs/>
        </w:rPr>
        <w:t>ö</w:t>
      </w:r>
      <w:r w:rsidR="00162A7C" w:rsidRPr="00450A0B">
        <w:rPr>
          <w:b/>
          <w:bCs/>
        </w:rPr>
        <w:t>rslag</w:t>
      </w:r>
    </w:p>
    <w:p w14:paraId="17AB5C03" w14:textId="55A9A68E" w:rsidR="00162A7C" w:rsidRPr="00963FE5" w:rsidRDefault="00162A7C" w:rsidP="00162A7C">
      <w:r>
        <w:t xml:space="preserve">Kvarstår bedömningen att det </w:t>
      </w:r>
      <w:r w:rsidR="00F72888">
        <w:t xml:space="preserve">fanns </w:t>
      </w:r>
      <w:r>
        <w:t xml:space="preserve">en eller flera avvikelser vid </w:t>
      </w:r>
      <w:r w:rsidR="00F72888">
        <w:t>kontrollen</w:t>
      </w:r>
      <w:r>
        <w:t xml:space="preserve"> går myndigheten vidare och bedömer de eventuella föreslagna eller genomförda åtgärder som verksamhetsutövaren redovisat. </w:t>
      </w:r>
    </w:p>
    <w:p w14:paraId="23F5A467" w14:textId="1F76F2B1" w:rsidR="00162A7C" w:rsidRDefault="00162A7C" w:rsidP="00162A7C">
      <w:r>
        <w:t xml:space="preserve">I många fall är det inte nödvändigt </w:t>
      </w:r>
      <w:r w:rsidRPr="00714CC6">
        <w:t>för myndigheten att</w:t>
      </w:r>
      <w:r w:rsidR="00CF6120">
        <w:t xml:space="preserve"> gå till</w:t>
      </w:r>
      <w:r w:rsidRPr="00714CC6">
        <w:t xml:space="preserve"> </w:t>
      </w:r>
      <w:r w:rsidR="00CF6120">
        <w:t>myndighetsåtgärder, t</w:t>
      </w:r>
      <w:r>
        <w:t>ill exempel när:</w:t>
      </w:r>
    </w:p>
    <w:p w14:paraId="21B0B792" w14:textId="10783F2F" w:rsidR="00162A7C" w:rsidRDefault="008C279F" w:rsidP="0003124F">
      <w:pPr>
        <w:pStyle w:val="Liststycke"/>
        <w:numPr>
          <w:ilvl w:val="0"/>
          <w:numId w:val="10"/>
        </w:numPr>
      </w:pPr>
      <w:r>
        <w:t>D</w:t>
      </w:r>
      <w:r w:rsidR="00162A7C">
        <w:t>e föreslagna åtgärderna bedöms som tillräckliga</w:t>
      </w:r>
      <w:r>
        <w:t>. M</w:t>
      </w:r>
      <w:r w:rsidR="00162A7C">
        <w:t xml:space="preserve">yndigheten har </w:t>
      </w:r>
      <w:r>
        <w:t xml:space="preserve">ingen </w:t>
      </w:r>
      <w:r w:rsidR="00162A7C">
        <w:t>anledning att betvivla att de kommer att genomföras</w:t>
      </w:r>
      <w:r>
        <w:t>.</w:t>
      </w:r>
      <w:r w:rsidR="00162A7C">
        <w:t xml:space="preserve"> </w:t>
      </w:r>
      <w:r>
        <w:t>I</w:t>
      </w:r>
      <w:r w:rsidR="00162A7C" w:rsidRPr="00714CC6">
        <w:t xml:space="preserve"> de</w:t>
      </w:r>
      <w:r>
        <w:t>ss</w:t>
      </w:r>
      <w:r w:rsidR="00162A7C" w:rsidRPr="00714CC6">
        <w:t>a</w:t>
      </w:r>
      <w:r w:rsidR="00162A7C">
        <w:t xml:space="preserve"> fall ska myndigheten kontakta verksamhetsutövaren och bekräfta att</w:t>
      </w:r>
      <w:r w:rsidR="0003124F" w:rsidRPr="0003124F">
        <w:rPr>
          <w:rFonts w:ascii="Segoe UI" w:eastAsia="Times New Roman" w:hAnsi="Segoe UI" w:cs="Segoe UI"/>
          <w:sz w:val="18"/>
          <w:szCs w:val="18"/>
          <w:lang w:eastAsia="sv-SE"/>
        </w:rPr>
        <w:t xml:space="preserve"> </w:t>
      </w:r>
      <w:r w:rsidR="00283D96" w:rsidRPr="00283D96">
        <w:t xml:space="preserve">myndigheten </w:t>
      </w:r>
      <w:r w:rsidR="0003124F" w:rsidRPr="0003124F">
        <w:t xml:space="preserve">anser att de </w:t>
      </w:r>
      <w:r>
        <w:t xml:space="preserve">föreslagna </w:t>
      </w:r>
      <w:r w:rsidR="0003124F" w:rsidRPr="0003124F">
        <w:t>är tillräckliga</w:t>
      </w:r>
      <w:r>
        <w:t>,</w:t>
      </w:r>
      <w:r w:rsidR="0003124F" w:rsidRPr="0003124F">
        <w:t xml:space="preserve"> och </w:t>
      </w:r>
      <w:r>
        <w:t xml:space="preserve">att myndigheten </w:t>
      </w:r>
      <w:r w:rsidR="0003124F" w:rsidRPr="0003124F">
        <w:t xml:space="preserve">därför inte kommer att vidta någon </w:t>
      </w:r>
      <w:r>
        <w:t>myndighets</w:t>
      </w:r>
      <w:r w:rsidR="0003124F" w:rsidRPr="0003124F">
        <w:t>åtgärd</w:t>
      </w:r>
      <w:r>
        <w:t xml:space="preserve"> </w:t>
      </w:r>
      <w:r w:rsidR="0003124F" w:rsidRPr="0003124F">
        <w:t>med anledning avvikelsen.</w:t>
      </w:r>
    </w:p>
    <w:p w14:paraId="137F1FB4" w14:textId="36701962" w:rsidR="00162A7C" w:rsidRDefault="008C279F" w:rsidP="00162A7C">
      <w:pPr>
        <w:pStyle w:val="Liststycke"/>
        <w:numPr>
          <w:ilvl w:val="0"/>
          <w:numId w:val="10"/>
        </w:numPr>
      </w:pPr>
      <w:r>
        <w:t>V</w:t>
      </w:r>
      <w:r w:rsidR="00162A7C">
        <w:t xml:space="preserve">erksamhetsutövaren har redovisat att åtgärder redan </w:t>
      </w:r>
      <w:r w:rsidR="00582EAB">
        <w:t xml:space="preserve">har </w:t>
      </w:r>
      <w:r w:rsidR="00162A7C">
        <w:t>vidtagits, och de beskrivna åtgärderna bedöms som tillräckliga av myndigheten</w:t>
      </w:r>
      <w:r>
        <w:t>. I</w:t>
      </w:r>
      <w:r w:rsidR="00162A7C">
        <w:t xml:space="preserve"> de</w:t>
      </w:r>
      <w:r>
        <w:t>ss</w:t>
      </w:r>
      <w:r w:rsidR="00162A7C">
        <w:t xml:space="preserve">a fall kan uppföljning ofta ske omedelbart, se avsnittet </w:t>
      </w:r>
      <w:r w:rsidR="00283D96">
        <w:rPr>
          <w:i/>
          <w:iCs/>
        </w:rPr>
        <w:t>P</w:t>
      </w:r>
      <w:r w:rsidR="00162A7C" w:rsidRPr="00450A0B">
        <w:rPr>
          <w:i/>
          <w:iCs/>
        </w:rPr>
        <w:t>lanering av uppf</w:t>
      </w:r>
      <w:r w:rsidR="00162A7C" w:rsidRPr="00450A0B">
        <w:rPr>
          <w:rFonts w:hint="eastAsia"/>
          <w:i/>
          <w:iCs/>
        </w:rPr>
        <w:t>ö</w:t>
      </w:r>
      <w:r w:rsidR="00162A7C" w:rsidRPr="00450A0B">
        <w:rPr>
          <w:i/>
          <w:iCs/>
        </w:rPr>
        <w:t>ljande kontroll</w:t>
      </w:r>
      <w:r w:rsidR="00582EAB">
        <w:t>. M</w:t>
      </w:r>
      <w:r w:rsidR="00162A7C">
        <w:t>en om uppföljningen ska ske vid ett senare tillfälle kontaktas verksamhetsutövaren på motsvarande sätt som i punkten ovan.</w:t>
      </w:r>
    </w:p>
    <w:p w14:paraId="0EEFF0B2" w14:textId="3DEEB977" w:rsidR="00162A7C" w:rsidRDefault="00162A7C" w:rsidP="00283D96">
      <w:r>
        <w:t>Därefter går myndigheten vidare till steget</w:t>
      </w:r>
      <w:r w:rsidR="00B05D18">
        <w:t xml:space="preserve"> </w:t>
      </w:r>
      <w:r w:rsidR="00283D96">
        <w:rPr>
          <w:b/>
          <w:bCs/>
          <w:i/>
          <w:iCs/>
        </w:rPr>
        <w:t>P</w:t>
      </w:r>
      <w:r w:rsidR="00B05D18" w:rsidRPr="00C45575">
        <w:rPr>
          <w:b/>
          <w:bCs/>
          <w:i/>
          <w:iCs/>
        </w:rPr>
        <w:t xml:space="preserve">lanering av </w:t>
      </w:r>
      <w:r w:rsidR="00B05D18" w:rsidRPr="00826E61">
        <w:rPr>
          <w:b/>
          <w:bCs/>
          <w:i/>
          <w:iCs/>
        </w:rPr>
        <w:t>uppföljande kontroll.</w:t>
      </w:r>
    </w:p>
    <w:p w14:paraId="25F187E6" w14:textId="058A977A" w:rsidR="00162A7C" w:rsidRDefault="00162A7C" w:rsidP="00162A7C">
      <w:r>
        <w:t xml:space="preserve">När det är nödvändigt ska myndigheten fatta </w:t>
      </w:r>
      <w:r w:rsidRPr="004663C2">
        <w:t>beslut med åtgärdskrav</w:t>
      </w:r>
      <w:r>
        <w:t xml:space="preserve">. Det gäller när: </w:t>
      </w:r>
    </w:p>
    <w:p w14:paraId="3DF754FA" w14:textId="77777777" w:rsidR="00162A7C" w:rsidRDefault="00162A7C" w:rsidP="00162A7C">
      <w:pPr>
        <w:pStyle w:val="Liststycke"/>
        <w:numPr>
          <w:ilvl w:val="0"/>
          <w:numId w:val="5"/>
        </w:numPr>
      </w:pPr>
      <w:r>
        <w:t xml:space="preserve">verksamhetsutövaren inte har inkommit med något yttrande när svarstiden gått ut, </w:t>
      </w:r>
    </w:p>
    <w:p w14:paraId="3414C3E5" w14:textId="27421142" w:rsidR="007643AC" w:rsidRDefault="007643AC" w:rsidP="00162A7C">
      <w:pPr>
        <w:pStyle w:val="Liststycke"/>
        <w:numPr>
          <w:ilvl w:val="0"/>
          <w:numId w:val="5"/>
        </w:numPr>
      </w:pPr>
      <w:r>
        <w:t>verksamhet</w:t>
      </w:r>
      <w:r w:rsidR="001C6EDD">
        <w:t>sutövaren</w:t>
      </w:r>
      <w:r>
        <w:t xml:space="preserve"> har inkommit med ett yttrande, men yttrandet redovisade inga åtgärder,</w:t>
      </w:r>
    </w:p>
    <w:p w14:paraId="5483CD2A" w14:textId="5A8F7652" w:rsidR="00162A7C" w:rsidRDefault="00162A7C" w:rsidP="00162A7C">
      <w:pPr>
        <w:pStyle w:val="Liststycke"/>
        <w:numPr>
          <w:ilvl w:val="0"/>
          <w:numId w:val="5"/>
        </w:numPr>
      </w:pPr>
      <w:r>
        <w:t xml:space="preserve">verksamhetsutövaren har redovisat åtgärder, men myndigheten bedömer </w:t>
      </w:r>
      <w:r w:rsidR="001C6EDD">
        <w:t xml:space="preserve">inte </w:t>
      </w:r>
      <w:r>
        <w:t xml:space="preserve">dessa som tillräckliga, </w:t>
      </w:r>
    </w:p>
    <w:p w14:paraId="68ECED7F" w14:textId="74DA7272" w:rsidR="00162A7C" w:rsidRDefault="00162A7C" w:rsidP="008D79BC">
      <w:pPr>
        <w:pStyle w:val="Liststycke"/>
        <w:numPr>
          <w:ilvl w:val="0"/>
          <w:numId w:val="5"/>
        </w:numPr>
      </w:pPr>
      <w:r w:rsidRPr="00BC08C8">
        <w:t xml:space="preserve">myndigheten har tidigare erfarenheter av att verksamhetsutövaren inte vidtar </w:t>
      </w:r>
      <w:r w:rsidR="007643AC">
        <w:t xml:space="preserve">tillräckliga </w:t>
      </w:r>
      <w:r w:rsidRPr="00BC08C8">
        <w:t xml:space="preserve">åtgärder, </w:t>
      </w:r>
      <w:r w:rsidR="007643AC" w:rsidRPr="00283D96">
        <w:t xml:space="preserve">det vill säga </w:t>
      </w:r>
      <w:r w:rsidRPr="00283D96">
        <w:t xml:space="preserve">avvikelser </w:t>
      </w:r>
      <w:r w:rsidR="00B05D18" w:rsidRPr="00283D96">
        <w:t xml:space="preserve">finns </w:t>
      </w:r>
      <w:r w:rsidRPr="00283D96">
        <w:t xml:space="preserve">kvar </w:t>
      </w:r>
      <w:r w:rsidR="007643AC" w:rsidRPr="00283D96">
        <w:t xml:space="preserve">vid uppföljande kontroll </w:t>
      </w:r>
      <w:r w:rsidRPr="00283D96">
        <w:t xml:space="preserve">eller </w:t>
      </w:r>
      <w:r w:rsidR="007643AC" w:rsidRPr="00283D96">
        <w:t>är återkommande</w:t>
      </w:r>
      <w:r w:rsidRPr="00283D96">
        <w:t>.</w:t>
      </w:r>
    </w:p>
    <w:p w14:paraId="6460169F" w14:textId="77777777" w:rsidR="00162A7C" w:rsidRDefault="00162A7C" w:rsidP="00162A7C">
      <w:r>
        <w:t xml:space="preserve">I dessa fall går myndigheten vidare till steget </w:t>
      </w:r>
      <w:r w:rsidRPr="00450A0B">
        <w:rPr>
          <w:b/>
          <w:bCs/>
          <w:i/>
          <w:iCs/>
        </w:rPr>
        <w:t xml:space="preserve">Beslut med </w:t>
      </w:r>
      <w:r w:rsidRPr="00450A0B">
        <w:rPr>
          <w:rFonts w:hint="eastAsia"/>
          <w:b/>
          <w:bCs/>
          <w:i/>
          <w:iCs/>
        </w:rPr>
        <w:t>å</w:t>
      </w:r>
      <w:r w:rsidRPr="00450A0B">
        <w:rPr>
          <w:b/>
          <w:bCs/>
          <w:i/>
          <w:iCs/>
        </w:rPr>
        <w:t>tg</w:t>
      </w:r>
      <w:r w:rsidRPr="00450A0B">
        <w:rPr>
          <w:rFonts w:hint="eastAsia"/>
          <w:b/>
          <w:bCs/>
          <w:i/>
          <w:iCs/>
        </w:rPr>
        <w:t>ä</w:t>
      </w:r>
      <w:r w:rsidRPr="00450A0B">
        <w:rPr>
          <w:b/>
          <w:bCs/>
          <w:i/>
          <w:iCs/>
        </w:rPr>
        <w:t>rdskrav</w:t>
      </w:r>
      <w:r>
        <w:t>.</w:t>
      </w:r>
    </w:p>
    <w:p w14:paraId="5550CAC5" w14:textId="77777777" w:rsidR="00162A7C" w:rsidRDefault="00162A7C" w:rsidP="00162A7C">
      <w:pPr>
        <w:pStyle w:val="Liststycke"/>
      </w:pPr>
    </w:p>
    <w:p w14:paraId="177FCED2" w14:textId="77777777" w:rsidR="00162A7C" w:rsidRDefault="00162A7C" w:rsidP="00162A7C">
      <w:pPr>
        <w:pStyle w:val="Rubrik2"/>
      </w:pPr>
      <w:r w:rsidRPr="00F53F0D">
        <w:t xml:space="preserve">Beslut med åtgärdskrav </w:t>
      </w:r>
    </w:p>
    <w:p w14:paraId="1D2E0D4E" w14:textId="093BCD59" w:rsidR="00162A7C" w:rsidRPr="00194913" w:rsidRDefault="00162A7C" w:rsidP="00162A7C">
      <w:r>
        <w:t xml:space="preserve">Vad myndigheten beslutar beror på avvikelsernas omfattning och art. Det vanligaste beslutet är ett föreläggande där verksamhetsutövaren får en viss tid på sig att genomföra åtgärder för att rätta till avvikelserna. </w:t>
      </w:r>
    </w:p>
    <w:p w14:paraId="0AC139F6" w14:textId="4D8A3C65" w:rsidR="00162A7C" w:rsidRDefault="00162A7C" w:rsidP="00162A7C">
      <w:r>
        <w:t xml:space="preserve">När myndigheten </w:t>
      </w:r>
      <w:r w:rsidRPr="004663C2">
        <w:t xml:space="preserve">avgör </w:t>
      </w:r>
      <w:r w:rsidR="0003124F" w:rsidRPr="0003124F">
        <w:t>vilket beslut som ska fattas</w:t>
      </w:r>
      <w:r w:rsidRPr="004663C2">
        <w:t xml:space="preserve"> behöver</w:t>
      </w:r>
      <w:r>
        <w:t xml:space="preserve"> den också ta hänsyn till vilka konsekvenser beslutet får för verksamheten, så att beslutet blir proportionerligt</w:t>
      </w:r>
      <w:r w:rsidR="00BC08C8">
        <w:t xml:space="preserve"> i förhållande till den konstaterade bristen</w:t>
      </w:r>
      <w:r>
        <w:t xml:space="preserve">, </w:t>
      </w:r>
      <w:r w:rsidR="00441086">
        <w:t xml:space="preserve">det vill säga </w:t>
      </w:r>
      <w:r>
        <w:t>inte får onödigt stor negativ påverkan på företaget.</w:t>
      </w:r>
    </w:p>
    <w:p w14:paraId="31D956EE" w14:textId="77777777" w:rsidR="00162A7C" w:rsidRDefault="00162A7C" w:rsidP="00162A7C">
      <w:r>
        <w:t>Läs mer om åtgärder vid bristande efterlevnad:</w:t>
      </w:r>
    </w:p>
    <w:p w14:paraId="79E8A3A7" w14:textId="77777777" w:rsidR="00162A7C" w:rsidRDefault="00162A7C" w:rsidP="00162A7C">
      <w:hyperlink r:id="rId31">
        <w:r w:rsidRPr="26D5C9E5">
          <w:rPr>
            <w:rStyle w:val="Hyperlnk"/>
          </w:rPr>
          <w:t>Åtgärder vid bristande efterlevnad</w:t>
        </w:r>
      </w:hyperlink>
    </w:p>
    <w:p w14:paraId="6CDB2A89" w14:textId="77777777" w:rsidR="00162A7C" w:rsidRDefault="00162A7C" w:rsidP="00162A7C"/>
    <w:p w14:paraId="2EFBC720" w14:textId="782D6737" w:rsidR="00162A7C" w:rsidRDefault="003F4AC8" w:rsidP="00162A7C">
      <w:pPr>
        <w:pStyle w:val="Rubrik2"/>
      </w:pPr>
      <w:r w:rsidRPr="00826E61">
        <w:t>P</w:t>
      </w:r>
      <w:r w:rsidR="00B05D18" w:rsidRPr="00826E61">
        <w:t xml:space="preserve">lanering av </w:t>
      </w:r>
      <w:r w:rsidR="00162A7C" w:rsidRPr="00826E61">
        <w:t>uppföljande kontroll</w:t>
      </w:r>
    </w:p>
    <w:p w14:paraId="0C12EC1F" w14:textId="46FB212E" w:rsidR="00162A7C" w:rsidRPr="00194913" w:rsidRDefault="00162A7C" w:rsidP="00162A7C">
      <w:r>
        <w:t xml:space="preserve">Alla avvikelser ska följas upp. Det här steget i processen handlar om att planera in när i tid </w:t>
      </w:r>
      <w:r w:rsidR="00A6533B">
        <w:t xml:space="preserve">som </w:t>
      </w:r>
      <w:r>
        <w:t>uppföljningen ska göras.</w:t>
      </w:r>
    </w:p>
    <w:p w14:paraId="4CF91E67" w14:textId="1C873D5D" w:rsidR="00162A7C" w:rsidRPr="00194913" w:rsidRDefault="00162A7C" w:rsidP="00162A7C">
      <w:pPr>
        <w:pStyle w:val="Liststycke"/>
        <w:numPr>
          <w:ilvl w:val="0"/>
          <w:numId w:val="4"/>
        </w:numPr>
      </w:pPr>
      <w:r>
        <w:t xml:space="preserve">Om myndigheten har förelagt verksamhetsutövaren att </w:t>
      </w:r>
      <w:r w:rsidR="004663C2">
        <w:t>vidta</w:t>
      </w:r>
      <w:r>
        <w:t xml:space="preserve"> åtgärder senast vid en viss tidpunkt ska uppföljningen ske vid eller strax efter den tidpunkten. </w:t>
      </w:r>
    </w:p>
    <w:p w14:paraId="0C1037A7" w14:textId="4EBDC6C3" w:rsidR="00162A7C" w:rsidRPr="00194913" w:rsidRDefault="00162A7C" w:rsidP="00162A7C">
      <w:pPr>
        <w:pStyle w:val="Liststycke"/>
        <w:numPr>
          <w:ilvl w:val="0"/>
          <w:numId w:val="4"/>
        </w:numPr>
      </w:pPr>
      <w:r>
        <w:t xml:space="preserve">Om verksamhetsutövaren har presenterat genomförda åtgärder och myndigheten har bedömt att åtgärderna som lämpliga kan uppföljningen oftast ske omedelbart. </w:t>
      </w:r>
      <w:r w:rsidR="0003124F">
        <w:t>När det är lämpligt</w:t>
      </w:r>
      <w:r>
        <w:t xml:space="preserve"> kan uppföljningen göras på distans. </w:t>
      </w:r>
      <w:r w:rsidR="0003124F">
        <w:t>Ifall</w:t>
      </w:r>
      <w:r>
        <w:t xml:space="preserve"> det är lämpligt beror på vad avvikelsen gäller, vilken slags åtgärd som</w:t>
      </w:r>
      <w:r w:rsidR="007A3DF7">
        <w:t xml:space="preserve"> har</w:t>
      </w:r>
      <w:r>
        <w:t xml:space="preserve"> genomförts och myndighetens kännedom om verksamhetsutövaren. En uppföljning på distans minskar oftast den administrativa bördan </w:t>
      </w:r>
      <w:r w:rsidR="00E66F65">
        <w:t xml:space="preserve">och kostnaden </w:t>
      </w:r>
      <w:r>
        <w:t xml:space="preserve">både för verksamhetsutövaren och för myndigheten, men valet av kontrollmetod får inte medföra att kontrollens effekt påverkas negativt. </w:t>
      </w:r>
    </w:p>
    <w:p w14:paraId="6533BA29" w14:textId="7CA588B3" w:rsidR="00162A7C" w:rsidRPr="00194913" w:rsidRDefault="0060196C" w:rsidP="00162A7C">
      <w:pPr>
        <w:pStyle w:val="Liststycke"/>
        <w:numPr>
          <w:ilvl w:val="0"/>
          <w:numId w:val="4"/>
        </w:numPr>
      </w:pPr>
      <w:r>
        <w:t xml:space="preserve">När </w:t>
      </w:r>
      <w:r w:rsidR="00162A7C">
        <w:t>myndigheten</w:t>
      </w:r>
      <w:r>
        <w:t xml:space="preserve"> har kommit fram till att en </w:t>
      </w:r>
      <w:r w:rsidR="00162A7C">
        <w:t xml:space="preserve">tidpunkt som verksamhetsutövaren angett </w:t>
      </w:r>
      <w:r>
        <w:t xml:space="preserve">är tillräcklig </w:t>
      </w:r>
      <w:r w:rsidR="00162A7C">
        <w:t>ska uppföljningen göras efter det datum</w:t>
      </w:r>
      <w:r w:rsidR="007A3DF7">
        <w:t>et</w:t>
      </w:r>
      <w:r w:rsidR="00162A7C">
        <w:t>. Beroende på avvikelsens allvarlighetsgrad och myndighetens kännedom om verksamhetsutövaren kan uppföljningen ske direkt efter det datumet eller senare, i samband med ett kommande planerat kontrolltillfälle.</w:t>
      </w:r>
      <w:r>
        <w:t xml:space="preserve"> </w:t>
      </w:r>
    </w:p>
    <w:p w14:paraId="0C79B574" w14:textId="2942B7A5" w:rsidR="00162A7C" w:rsidRPr="00194913" w:rsidRDefault="00162A7C" w:rsidP="00162A7C">
      <w:r>
        <w:t xml:space="preserve">När tidpunkten för den uppföljande kontrollen har planerats in </w:t>
      </w:r>
      <w:r w:rsidR="007A3DF7">
        <w:t xml:space="preserve">räknas </w:t>
      </w:r>
      <w:r>
        <w:t xml:space="preserve">kontrolltillfället </w:t>
      </w:r>
      <w:r w:rsidR="007A3DF7">
        <w:t xml:space="preserve">som </w:t>
      </w:r>
      <w:r>
        <w:t>avslutat.</w:t>
      </w:r>
    </w:p>
    <w:p w14:paraId="3432CE9A" w14:textId="77777777" w:rsidR="00162A7C" w:rsidRDefault="00162A7C" w:rsidP="00162A7C"/>
    <w:p w14:paraId="1C2CAAE9" w14:textId="77777777" w:rsidR="00162A7C" w:rsidRDefault="00162A7C" w:rsidP="00162A7C"/>
    <w:p w14:paraId="19DA256C" w14:textId="77777777" w:rsidR="00162A7C" w:rsidRPr="00162A7C" w:rsidRDefault="00162A7C" w:rsidP="00162A7C">
      <w:pPr>
        <w:rPr>
          <w:iCs/>
          <w:highlight w:val="yellow"/>
        </w:rPr>
      </w:pPr>
    </w:p>
    <w:sectPr w:rsidR="00162A7C" w:rsidRPr="00162A7C" w:rsidSect="00593CE7">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E7C9" w14:textId="77777777" w:rsidR="009103DF" w:rsidRDefault="009103DF" w:rsidP="00A25E90">
      <w:pPr>
        <w:spacing w:after="0" w:line="240" w:lineRule="auto"/>
      </w:pPr>
      <w:r>
        <w:separator/>
      </w:r>
    </w:p>
  </w:endnote>
  <w:endnote w:type="continuationSeparator" w:id="0">
    <w:p w14:paraId="30CB1C62" w14:textId="77777777" w:rsidR="009103DF" w:rsidRDefault="009103DF" w:rsidP="00A2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4ED" w14:textId="77777777" w:rsidR="00264F4C" w:rsidRDefault="00264F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BFE0" w14:textId="77777777" w:rsidR="00264F4C" w:rsidRDefault="00264F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1E08" w14:textId="77777777" w:rsidR="00264F4C" w:rsidRDefault="00264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C322" w14:textId="77777777" w:rsidR="009103DF" w:rsidRDefault="009103DF" w:rsidP="00A25E90">
      <w:pPr>
        <w:spacing w:after="0" w:line="240" w:lineRule="auto"/>
      </w:pPr>
      <w:r>
        <w:separator/>
      </w:r>
    </w:p>
  </w:footnote>
  <w:footnote w:type="continuationSeparator" w:id="0">
    <w:p w14:paraId="0EDE091E" w14:textId="77777777" w:rsidR="009103DF" w:rsidRDefault="009103DF" w:rsidP="00A2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7E5" w14:textId="3F4180CA" w:rsidR="00264F4C" w:rsidRDefault="009103DF">
    <w:pPr>
      <w:pStyle w:val="Sidhuvud"/>
    </w:pPr>
    <w:r>
      <w:rPr>
        <w:noProof/>
      </w:rPr>
      <w:pict w14:anchorId="69C17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55pt;height:119.9pt;rotation:315;z-index:-251655168;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13F" w14:textId="5F3DC7D2" w:rsidR="00264F4C" w:rsidRDefault="009103DF">
    <w:pPr>
      <w:pStyle w:val="Sidhuvud"/>
    </w:pPr>
    <w:r>
      <w:rPr>
        <w:noProof/>
      </w:rPr>
      <w:pict w14:anchorId="5260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55pt;height:119.9pt;rotation:315;z-index:-251653120;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77C2" w14:textId="17892C72" w:rsidR="00264F4C" w:rsidRDefault="009103DF">
    <w:pPr>
      <w:pStyle w:val="Sidhuvud"/>
    </w:pPr>
    <w:r>
      <w:rPr>
        <w:noProof/>
      </w:rPr>
      <w:pict w14:anchorId="1AD5C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19.55pt;height:119.9pt;rotation:315;z-index:-251657216;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2D5"/>
    <w:multiLevelType w:val="hybridMultilevel"/>
    <w:tmpl w:val="C8002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A724FA"/>
    <w:multiLevelType w:val="hybridMultilevel"/>
    <w:tmpl w:val="A53A1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960620"/>
    <w:multiLevelType w:val="hybridMultilevel"/>
    <w:tmpl w:val="49CEE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E1257B"/>
    <w:multiLevelType w:val="hybridMultilevel"/>
    <w:tmpl w:val="0F64B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46C46AA"/>
    <w:multiLevelType w:val="hybridMultilevel"/>
    <w:tmpl w:val="6D502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FD4A71"/>
    <w:multiLevelType w:val="hybridMultilevel"/>
    <w:tmpl w:val="4D4CF354"/>
    <w:lvl w:ilvl="0" w:tplc="5E265508">
      <w:start w:val="1"/>
      <w:numFmt w:val="bullet"/>
      <w:lvlText w:val="•"/>
      <w:lvlJc w:val="left"/>
      <w:pPr>
        <w:tabs>
          <w:tab w:val="num" w:pos="720"/>
        </w:tabs>
        <w:ind w:left="720" w:hanging="360"/>
      </w:pPr>
      <w:rPr>
        <w:rFonts w:ascii="Arial" w:hAnsi="Arial" w:hint="default"/>
      </w:rPr>
    </w:lvl>
    <w:lvl w:ilvl="1" w:tplc="71BA832C" w:tentative="1">
      <w:start w:val="1"/>
      <w:numFmt w:val="bullet"/>
      <w:lvlText w:val="•"/>
      <w:lvlJc w:val="left"/>
      <w:pPr>
        <w:tabs>
          <w:tab w:val="num" w:pos="1440"/>
        </w:tabs>
        <w:ind w:left="1440" w:hanging="360"/>
      </w:pPr>
      <w:rPr>
        <w:rFonts w:ascii="Arial" w:hAnsi="Arial" w:hint="default"/>
      </w:rPr>
    </w:lvl>
    <w:lvl w:ilvl="2" w:tplc="B9FEC4EA" w:tentative="1">
      <w:start w:val="1"/>
      <w:numFmt w:val="bullet"/>
      <w:lvlText w:val="•"/>
      <w:lvlJc w:val="left"/>
      <w:pPr>
        <w:tabs>
          <w:tab w:val="num" w:pos="2160"/>
        </w:tabs>
        <w:ind w:left="2160" w:hanging="360"/>
      </w:pPr>
      <w:rPr>
        <w:rFonts w:ascii="Arial" w:hAnsi="Arial" w:hint="default"/>
      </w:rPr>
    </w:lvl>
    <w:lvl w:ilvl="3" w:tplc="D86C3AEA" w:tentative="1">
      <w:start w:val="1"/>
      <w:numFmt w:val="bullet"/>
      <w:lvlText w:val="•"/>
      <w:lvlJc w:val="left"/>
      <w:pPr>
        <w:tabs>
          <w:tab w:val="num" w:pos="2880"/>
        </w:tabs>
        <w:ind w:left="2880" w:hanging="360"/>
      </w:pPr>
      <w:rPr>
        <w:rFonts w:ascii="Arial" w:hAnsi="Arial" w:hint="default"/>
      </w:rPr>
    </w:lvl>
    <w:lvl w:ilvl="4" w:tplc="738C5B6C" w:tentative="1">
      <w:start w:val="1"/>
      <w:numFmt w:val="bullet"/>
      <w:lvlText w:val="•"/>
      <w:lvlJc w:val="left"/>
      <w:pPr>
        <w:tabs>
          <w:tab w:val="num" w:pos="3600"/>
        </w:tabs>
        <w:ind w:left="3600" w:hanging="360"/>
      </w:pPr>
      <w:rPr>
        <w:rFonts w:ascii="Arial" w:hAnsi="Arial" w:hint="default"/>
      </w:rPr>
    </w:lvl>
    <w:lvl w:ilvl="5" w:tplc="8FBED9BC" w:tentative="1">
      <w:start w:val="1"/>
      <w:numFmt w:val="bullet"/>
      <w:lvlText w:val="•"/>
      <w:lvlJc w:val="left"/>
      <w:pPr>
        <w:tabs>
          <w:tab w:val="num" w:pos="4320"/>
        </w:tabs>
        <w:ind w:left="4320" w:hanging="360"/>
      </w:pPr>
      <w:rPr>
        <w:rFonts w:ascii="Arial" w:hAnsi="Arial" w:hint="default"/>
      </w:rPr>
    </w:lvl>
    <w:lvl w:ilvl="6" w:tplc="898089F8" w:tentative="1">
      <w:start w:val="1"/>
      <w:numFmt w:val="bullet"/>
      <w:lvlText w:val="•"/>
      <w:lvlJc w:val="left"/>
      <w:pPr>
        <w:tabs>
          <w:tab w:val="num" w:pos="5040"/>
        </w:tabs>
        <w:ind w:left="5040" w:hanging="360"/>
      </w:pPr>
      <w:rPr>
        <w:rFonts w:ascii="Arial" w:hAnsi="Arial" w:hint="default"/>
      </w:rPr>
    </w:lvl>
    <w:lvl w:ilvl="7" w:tplc="820EDF3A" w:tentative="1">
      <w:start w:val="1"/>
      <w:numFmt w:val="bullet"/>
      <w:lvlText w:val="•"/>
      <w:lvlJc w:val="left"/>
      <w:pPr>
        <w:tabs>
          <w:tab w:val="num" w:pos="5760"/>
        </w:tabs>
        <w:ind w:left="5760" w:hanging="360"/>
      </w:pPr>
      <w:rPr>
        <w:rFonts w:ascii="Arial" w:hAnsi="Arial" w:hint="default"/>
      </w:rPr>
    </w:lvl>
    <w:lvl w:ilvl="8" w:tplc="79C849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721A00"/>
    <w:multiLevelType w:val="hybridMultilevel"/>
    <w:tmpl w:val="29B6A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A153F2"/>
    <w:multiLevelType w:val="hybridMultilevel"/>
    <w:tmpl w:val="879016EA"/>
    <w:lvl w:ilvl="0" w:tplc="5748BE7E">
      <w:start w:val="1"/>
      <w:numFmt w:val="bullet"/>
      <w:lvlText w:val=""/>
      <w:lvlJc w:val="left"/>
      <w:pPr>
        <w:ind w:left="720" w:hanging="360"/>
      </w:pPr>
      <w:rPr>
        <w:rFonts w:ascii="Symbol" w:hAnsi="Symbol" w:hint="default"/>
      </w:rPr>
    </w:lvl>
    <w:lvl w:ilvl="1" w:tplc="59B8599C">
      <w:start w:val="1"/>
      <w:numFmt w:val="bullet"/>
      <w:lvlText w:val="o"/>
      <w:lvlJc w:val="left"/>
      <w:pPr>
        <w:ind w:left="1440" w:hanging="360"/>
      </w:pPr>
      <w:rPr>
        <w:rFonts w:ascii="Courier New" w:hAnsi="Courier New" w:hint="default"/>
      </w:rPr>
    </w:lvl>
    <w:lvl w:ilvl="2" w:tplc="13C8521A">
      <w:start w:val="1"/>
      <w:numFmt w:val="bullet"/>
      <w:lvlText w:val=""/>
      <w:lvlJc w:val="left"/>
      <w:pPr>
        <w:ind w:left="2160" w:hanging="360"/>
      </w:pPr>
      <w:rPr>
        <w:rFonts w:ascii="Wingdings" w:hAnsi="Wingdings" w:hint="default"/>
      </w:rPr>
    </w:lvl>
    <w:lvl w:ilvl="3" w:tplc="1062CD96">
      <w:start w:val="1"/>
      <w:numFmt w:val="bullet"/>
      <w:lvlText w:val=""/>
      <w:lvlJc w:val="left"/>
      <w:pPr>
        <w:ind w:left="2880" w:hanging="360"/>
      </w:pPr>
      <w:rPr>
        <w:rFonts w:ascii="Symbol" w:hAnsi="Symbol" w:hint="default"/>
      </w:rPr>
    </w:lvl>
    <w:lvl w:ilvl="4" w:tplc="8EB8A960">
      <w:start w:val="1"/>
      <w:numFmt w:val="bullet"/>
      <w:lvlText w:val="o"/>
      <w:lvlJc w:val="left"/>
      <w:pPr>
        <w:ind w:left="3600" w:hanging="360"/>
      </w:pPr>
      <w:rPr>
        <w:rFonts w:ascii="Courier New" w:hAnsi="Courier New" w:hint="default"/>
      </w:rPr>
    </w:lvl>
    <w:lvl w:ilvl="5" w:tplc="602E2890">
      <w:start w:val="1"/>
      <w:numFmt w:val="bullet"/>
      <w:lvlText w:val=""/>
      <w:lvlJc w:val="left"/>
      <w:pPr>
        <w:ind w:left="4320" w:hanging="360"/>
      </w:pPr>
      <w:rPr>
        <w:rFonts w:ascii="Wingdings" w:hAnsi="Wingdings" w:hint="default"/>
      </w:rPr>
    </w:lvl>
    <w:lvl w:ilvl="6" w:tplc="61906E7A">
      <w:start w:val="1"/>
      <w:numFmt w:val="bullet"/>
      <w:lvlText w:val=""/>
      <w:lvlJc w:val="left"/>
      <w:pPr>
        <w:ind w:left="5040" w:hanging="360"/>
      </w:pPr>
      <w:rPr>
        <w:rFonts w:ascii="Symbol" w:hAnsi="Symbol" w:hint="default"/>
      </w:rPr>
    </w:lvl>
    <w:lvl w:ilvl="7" w:tplc="AB3A69E0">
      <w:start w:val="1"/>
      <w:numFmt w:val="bullet"/>
      <w:lvlText w:val="o"/>
      <w:lvlJc w:val="left"/>
      <w:pPr>
        <w:ind w:left="5760" w:hanging="360"/>
      </w:pPr>
      <w:rPr>
        <w:rFonts w:ascii="Courier New" w:hAnsi="Courier New" w:hint="default"/>
      </w:rPr>
    </w:lvl>
    <w:lvl w:ilvl="8" w:tplc="56F0BD0A">
      <w:start w:val="1"/>
      <w:numFmt w:val="bullet"/>
      <w:lvlText w:val=""/>
      <w:lvlJc w:val="left"/>
      <w:pPr>
        <w:ind w:left="6480" w:hanging="360"/>
      </w:pPr>
      <w:rPr>
        <w:rFonts w:ascii="Wingdings" w:hAnsi="Wingdings" w:hint="default"/>
      </w:rPr>
    </w:lvl>
  </w:abstractNum>
  <w:abstractNum w:abstractNumId="8" w15:restartNumberingAfterBreak="0">
    <w:nsid w:val="74541E26"/>
    <w:multiLevelType w:val="hybridMultilevel"/>
    <w:tmpl w:val="8A649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A35D79"/>
    <w:multiLevelType w:val="hybridMultilevel"/>
    <w:tmpl w:val="306AE1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05701087">
    <w:abstractNumId w:val="1"/>
  </w:num>
  <w:num w:numId="2" w16cid:durableId="664164981">
    <w:abstractNumId w:val="0"/>
  </w:num>
  <w:num w:numId="3" w16cid:durableId="1057507739">
    <w:abstractNumId w:val="5"/>
  </w:num>
  <w:num w:numId="4" w16cid:durableId="149710834">
    <w:abstractNumId w:val="6"/>
  </w:num>
  <w:num w:numId="5" w16cid:durableId="1653564150">
    <w:abstractNumId w:val="4"/>
  </w:num>
  <w:num w:numId="6" w16cid:durableId="1781222097">
    <w:abstractNumId w:val="9"/>
  </w:num>
  <w:num w:numId="7" w16cid:durableId="194343381">
    <w:abstractNumId w:val="7"/>
  </w:num>
  <w:num w:numId="8" w16cid:durableId="2003728755">
    <w:abstractNumId w:val="8"/>
  </w:num>
  <w:num w:numId="9" w16cid:durableId="2093576063">
    <w:abstractNumId w:val="2"/>
  </w:num>
  <w:num w:numId="10" w16cid:durableId="41709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Frida Kallberg"/>
    <w:docVar w:name="Encrypted_CloudStatistics_DocumentCreation" w:val="jdVW2FK8uI0YHzTHPTEY1w=="/>
    <w:docVar w:name="Encrypted_CloudStatistics_StoryID" w:val="8IWCs8+gBbDnmxr1mKLFPkMYIXtF3IWRCionlFKzLvI1u+Zsea5dH6KSUiF08ath"/>
  </w:docVars>
  <w:rsids>
    <w:rsidRoot w:val="00DD129A"/>
    <w:rsid w:val="00027CEF"/>
    <w:rsid w:val="0003124F"/>
    <w:rsid w:val="00054199"/>
    <w:rsid w:val="0006734F"/>
    <w:rsid w:val="00087E61"/>
    <w:rsid w:val="000C4C65"/>
    <w:rsid w:val="000E1253"/>
    <w:rsid w:val="000E2D2D"/>
    <w:rsid w:val="000E347E"/>
    <w:rsid w:val="00115DC1"/>
    <w:rsid w:val="00120F50"/>
    <w:rsid w:val="001346C0"/>
    <w:rsid w:val="00141915"/>
    <w:rsid w:val="00162A7C"/>
    <w:rsid w:val="0017399A"/>
    <w:rsid w:val="00195ACC"/>
    <w:rsid w:val="001B19C3"/>
    <w:rsid w:val="001C6EDD"/>
    <w:rsid w:val="001F307A"/>
    <w:rsid w:val="00264F4C"/>
    <w:rsid w:val="00283D96"/>
    <w:rsid w:val="002A3713"/>
    <w:rsid w:val="002B1D6F"/>
    <w:rsid w:val="002B60EB"/>
    <w:rsid w:val="002C64A7"/>
    <w:rsid w:val="002D1399"/>
    <w:rsid w:val="002F1B6A"/>
    <w:rsid w:val="002F3E8B"/>
    <w:rsid w:val="00314259"/>
    <w:rsid w:val="0034419C"/>
    <w:rsid w:val="003773FC"/>
    <w:rsid w:val="003829D2"/>
    <w:rsid w:val="003E424B"/>
    <w:rsid w:val="003E5C07"/>
    <w:rsid w:val="003F4AC8"/>
    <w:rsid w:val="00412A9A"/>
    <w:rsid w:val="00425220"/>
    <w:rsid w:val="00441086"/>
    <w:rsid w:val="004624FE"/>
    <w:rsid w:val="004663C2"/>
    <w:rsid w:val="0046677C"/>
    <w:rsid w:val="00482EAC"/>
    <w:rsid w:val="004C79D2"/>
    <w:rsid w:val="004E20B0"/>
    <w:rsid w:val="004F354C"/>
    <w:rsid w:val="00521476"/>
    <w:rsid w:val="00536ACA"/>
    <w:rsid w:val="00582EAB"/>
    <w:rsid w:val="00586CED"/>
    <w:rsid w:val="00593CE7"/>
    <w:rsid w:val="005B374F"/>
    <w:rsid w:val="0060196C"/>
    <w:rsid w:val="00623F42"/>
    <w:rsid w:val="006C4551"/>
    <w:rsid w:val="007065BA"/>
    <w:rsid w:val="00710C06"/>
    <w:rsid w:val="00714C81"/>
    <w:rsid w:val="00714CC6"/>
    <w:rsid w:val="00716119"/>
    <w:rsid w:val="00731C64"/>
    <w:rsid w:val="00733D23"/>
    <w:rsid w:val="007643AC"/>
    <w:rsid w:val="00785C23"/>
    <w:rsid w:val="007875FD"/>
    <w:rsid w:val="007A3DF7"/>
    <w:rsid w:val="007B526F"/>
    <w:rsid w:val="007B7C75"/>
    <w:rsid w:val="007C2495"/>
    <w:rsid w:val="007D1CA8"/>
    <w:rsid w:val="007E7EA1"/>
    <w:rsid w:val="007F210F"/>
    <w:rsid w:val="007F4857"/>
    <w:rsid w:val="00801101"/>
    <w:rsid w:val="00823081"/>
    <w:rsid w:val="00823184"/>
    <w:rsid w:val="00826E61"/>
    <w:rsid w:val="00857A56"/>
    <w:rsid w:val="008650CC"/>
    <w:rsid w:val="00883D95"/>
    <w:rsid w:val="008B1C40"/>
    <w:rsid w:val="008B34FB"/>
    <w:rsid w:val="008B5828"/>
    <w:rsid w:val="008C279F"/>
    <w:rsid w:val="008C38D4"/>
    <w:rsid w:val="008F1FAA"/>
    <w:rsid w:val="0091035F"/>
    <w:rsid w:val="009103DF"/>
    <w:rsid w:val="009A617D"/>
    <w:rsid w:val="009F5788"/>
    <w:rsid w:val="00A25E90"/>
    <w:rsid w:val="00A447C0"/>
    <w:rsid w:val="00A6533B"/>
    <w:rsid w:val="00A801E4"/>
    <w:rsid w:val="00A8058A"/>
    <w:rsid w:val="00A85F19"/>
    <w:rsid w:val="00AB66B8"/>
    <w:rsid w:val="00AC4424"/>
    <w:rsid w:val="00AC5DF1"/>
    <w:rsid w:val="00AF6E85"/>
    <w:rsid w:val="00B0322D"/>
    <w:rsid w:val="00B05D18"/>
    <w:rsid w:val="00B13235"/>
    <w:rsid w:val="00B16FE3"/>
    <w:rsid w:val="00B2064C"/>
    <w:rsid w:val="00B51C57"/>
    <w:rsid w:val="00B62791"/>
    <w:rsid w:val="00BC08C8"/>
    <w:rsid w:val="00C17FF7"/>
    <w:rsid w:val="00C45575"/>
    <w:rsid w:val="00C81D31"/>
    <w:rsid w:val="00CD6E23"/>
    <w:rsid w:val="00CF6120"/>
    <w:rsid w:val="00D11B95"/>
    <w:rsid w:val="00D15FB6"/>
    <w:rsid w:val="00D21A56"/>
    <w:rsid w:val="00D27C8F"/>
    <w:rsid w:val="00D87392"/>
    <w:rsid w:val="00D90099"/>
    <w:rsid w:val="00D91BAF"/>
    <w:rsid w:val="00DD05EE"/>
    <w:rsid w:val="00DD129A"/>
    <w:rsid w:val="00DF646D"/>
    <w:rsid w:val="00E41B25"/>
    <w:rsid w:val="00E66F65"/>
    <w:rsid w:val="00E75779"/>
    <w:rsid w:val="00E77B14"/>
    <w:rsid w:val="00E77D58"/>
    <w:rsid w:val="00E80B45"/>
    <w:rsid w:val="00E8119F"/>
    <w:rsid w:val="00E81CAC"/>
    <w:rsid w:val="00E920FB"/>
    <w:rsid w:val="00EA729C"/>
    <w:rsid w:val="00EB1F07"/>
    <w:rsid w:val="00EC25DE"/>
    <w:rsid w:val="00EE0247"/>
    <w:rsid w:val="00EE7810"/>
    <w:rsid w:val="00F53F0D"/>
    <w:rsid w:val="00F72888"/>
    <w:rsid w:val="00F80F06"/>
    <w:rsid w:val="00F82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C405"/>
  <w15:chartTrackingRefBased/>
  <w15:docId w15:val="{5BD09761-7D65-4E58-9604-2E0673E1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9A"/>
  </w:style>
  <w:style w:type="paragraph" w:styleId="Rubrik1">
    <w:name w:val="heading 1"/>
    <w:basedOn w:val="Normal"/>
    <w:next w:val="Normal"/>
    <w:link w:val="Rubrik1Char"/>
    <w:uiPriority w:val="9"/>
    <w:qFormat/>
    <w:rsid w:val="008C38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E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162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8D4"/>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8C38D4"/>
    <w:pPr>
      <w:ind w:left="720"/>
      <w:contextualSpacing/>
    </w:pPr>
  </w:style>
  <w:style w:type="character" w:styleId="Hyperlnk">
    <w:name w:val="Hyperlink"/>
    <w:basedOn w:val="Standardstycketeckensnitt"/>
    <w:uiPriority w:val="99"/>
    <w:unhideWhenUsed/>
    <w:rsid w:val="000C4C65"/>
    <w:rPr>
      <w:color w:val="0563C1" w:themeColor="hyperlink"/>
      <w:u w:val="single"/>
    </w:rPr>
  </w:style>
  <w:style w:type="character" w:styleId="AnvndHyperlnk">
    <w:name w:val="FollowedHyperlink"/>
    <w:basedOn w:val="Standardstycketeckensnitt"/>
    <w:uiPriority w:val="99"/>
    <w:semiHidden/>
    <w:unhideWhenUsed/>
    <w:rsid w:val="007E7EA1"/>
    <w:rPr>
      <w:color w:val="954F72" w:themeColor="followedHyperlink"/>
      <w:u w:val="single"/>
    </w:rPr>
  </w:style>
  <w:style w:type="character" w:customStyle="1" w:styleId="Rubrik2Char">
    <w:name w:val="Rubrik 2 Char"/>
    <w:basedOn w:val="Standardstycketeckensnitt"/>
    <w:link w:val="Rubrik2"/>
    <w:uiPriority w:val="9"/>
    <w:rsid w:val="000E1253"/>
    <w:rPr>
      <w:rFonts w:asciiTheme="majorHAnsi" w:eastAsiaTheme="majorEastAsia" w:hAnsiTheme="majorHAnsi" w:cstheme="majorBidi"/>
      <w:color w:val="2E74B5" w:themeColor="accent1" w:themeShade="BF"/>
      <w:sz w:val="26"/>
      <w:szCs w:val="26"/>
    </w:rPr>
  </w:style>
  <w:style w:type="character" w:styleId="Diskretbetoning">
    <w:name w:val="Subtle Emphasis"/>
    <w:basedOn w:val="Standardstycketeckensnitt"/>
    <w:uiPriority w:val="19"/>
    <w:qFormat/>
    <w:rsid w:val="000E1253"/>
    <w:rPr>
      <w:i/>
      <w:iCs/>
      <w:color w:val="404040" w:themeColor="text1" w:themeTint="BF"/>
    </w:rPr>
  </w:style>
  <w:style w:type="character" w:styleId="Olstomnmnande">
    <w:name w:val="Unresolved Mention"/>
    <w:basedOn w:val="Standardstycketeckensnitt"/>
    <w:uiPriority w:val="99"/>
    <w:semiHidden/>
    <w:unhideWhenUsed/>
    <w:rsid w:val="0034419C"/>
    <w:rPr>
      <w:color w:val="605E5C"/>
      <w:shd w:val="clear" w:color="auto" w:fill="E1DFDD"/>
    </w:rPr>
  </w:style>
  <w:style w:type="character" w:customStyle="1" w:styleId="Rubrik3Char">
    <w:name w:val="Rubrik 3 Char"/>
    <w:basedOn w:val="Standardstycketeckensnitt"/>
    <w:link w:val="Rubrik3"/>
    <w:uiPriority w:val="9"/>
    <w:semiHidden/>
    <w:rsid w:val="00162A7C"/>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39"/>
    <w:rsid w:val="00162A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2A7C"/>
    <w:rPr>
      <w:sz w:val="16"/>
      <w:szCs w:val="16"/>
    </w:rPr>
  </w:style>
  <w:style w:type="paragraph" w:styleId="Kommentarer">
    <w:name w:val="annotation text"/>
    <w:basedOn w:val="Normal"/>
    <w:link w:val="KommentarerChar"/>
    <w:uiPriority w:val="99"/>
    <w:unhideWhenUsed/>
    <w:rsid w:val="00162A7C"/>
    <w:pPr>
      <w:spacing w:line="240" w:lineRule="auto"/>
    </w:pPr>
    <w:rPr>
      <w:kern w:val="2"/>
      <w:sz w:val="20"/>
      <w:szCs w:val="20"/>
      <w14:ligatures w14:val="standardContextual"/>
    </w:rPr>
  </w:style>
  <w:style w:type="character" w:customStyle="1" w:styleId="KommentarerChar">
    <w:name w:val="Kommentarer Char"/>
    <w:basedOn w:val="Standardstycketeckensnitt"/>
    <w:link w:val="Kommentarer"/>
    <w:uiPriority w:val="99"/>
    <w:rsid w:val="00162A7C"/>
    <w:rPr>
      <w:kern w:val="2"/>
      <w:sz w:val="20"/>
      <w:szCs w:val="20"/>
      <w14:ligatures w14:val="standardContextual"/>
    </w:rPr>
  </w:style>
  <w:style w:type="paragraph" w:styleId="Kommentarsmne">
    <w:name w:val="annotation subject"/>
    <w:basedOn w:val="Kommentarer"/>
    <w:next w:val="Kommentarer"/>
    <w:link w:val="KommentarsmneChar"/>
    <w:uiPriority w:val="99"/>
    <w:semiHidden/>
    <w:unhideWhenUsed/>
    <w:rsid w:val="007B526F"/>
    <w:rPr>
      <w:b/>
      <w:bCs/>
      <w:kern w:val="0"/>
      <w14:ligatures w14:val="none"/>
    </w:rPr>
  </w:style>
  <w:style w:type="character" w:customStyle="1" w:styleId="KommentarsmneChar">
    <w:name w:val="Kommentarsämne Char"/>
    <w:basedOn w:val="KommentarerChar"/>
    <w:link w:val="Kommentarsmne"/>
    <w:uiPriority w:val="99"/>
    <w:semiHidden/>
    <w:rsid w:val="007B526F"/>
    <w:rPr>
      <w:b/>
      <w:bCs/>
      <w:kern w:val="2"/>
      <w:sz w:val="20"/>
      <w:szCs w:val="20"/>
      <w14:ligatures w14:val="standardContextual"/>
    </w:rPr>
  </w:style>
  <w:style w:type="paragraph" w:styleId="Revision">
    <w:name w:val="Revision"/>
    <w:hidden/>
    <w:uiPriority w:val="99"/>
    <w:semiHidden/>
    <w:rsid w:val="007F210F"/>
    <w:pPr>
      <w:spacing w:after="0" w:line="240" w:lineRule="auto"/>
    </w:pPr>
  </w:style>
  <w:style w:type="paragraph" w:styleId="Sidhuvud">
    <w:name w:val="header"/>
    <w:basedOn w:val="Normal"/>
    <w:link w:val="SidhuvudChar"/>
    <w:uiPriority w:val="99"/>
    <w:unhideWhenUsed/>
    <w:rsid w:val="00A25E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E90"/>
  </w:style>
  <w:style w:type="paragraph" w:styleId="Sidfot">
    <w:name w:val="footer"/>
    <w:basedOn w:val="Normal"/>
    <w:link w:val="SidfotChar"/>
    <w:uiPriority w:val="99"/>
    <w:unhideWhenUsed/>
    <w:rsid w:val="00A25E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5297">
      <w:bodyDiv w:val="1"/>
      <w:marLeft w:val="0"/>
      <w:marRight w:val="0"/>
      <w:marTop w:val="0"/>
      <w:marBottom w:val="0"/>
      <w:divBdr>
        <w:top w:val="none" w:sz="0" w:space="0" w:color="auto"/>
        <w:left w:val="none" w:sz="0" w:space="0" w:color="auto"/>
        <w:bottom w:val="none" w:sz="0" w:space="0" w:color="auto"/>
        <w:right w:val="none" w:sz="0" w:space="0" w:color="auto"/>
      </w:divBdr>
    </w:div>
    <w:div w:id="633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ntrollwiki.livsmedelsverket.se/artikel/556/god-kontrollsed" TargetMode="External"/><Relationship Id="rId18" Type="http://schemas.openxmlformats.org/officeDocument/2006/relationships/hyperlink" Target="https://kontrollwiki.livsmedelsverket.se/artikel/101/metoder-och-tekniker-for-att-utfora-offentlig-livsmedelskontroll" TargetMode="External"/><Relationship Id="rId26" Type="http://schemas.openxmlformats.org/officeDocument/2006/relationships/hyperlink" Target="https://kontrollwiki.livsmedelsverket.se/artikel/623/kontrollrapport" TargetMode="External"/><Relationship Id="rId39" Type="http://schemas.openxmlformats.org/officeDocument/2006/relationships/theme" Target="theme/theme1.xml"/><Relationship Id="rId21" Type="http://schemas.openxmlformats.org/officeDocument/2006/relationships/hyperlink" Target="https://kontrollwiki.livsmedelsverket.se/artikel/867/kontroll-for-att-motverka-livsmedelsbedrageri"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ontrollwiki.livsmedelsverket.se/artikel/107/livsmedelsforetag-livsmedelsforetagare-och-livsmedelsanlaggning" TargetMode="External"/><Relationship Id="rId17" Type="http://schemas.openxmlformats.org/officeDocument/2006/relationships/hyperlink" Target="https://kontrollwiki.livsmedelsverket.se/artikel/621/planera-kontroll-av-livsmedelsforetag" TargetMode="External"/><Relationship Id="rId25" Type="http://schemas.openxmlformats.org/officeDocument/2006/relationships/hyperlink" Target="https://kontrollwiki.livsmedelsverket.se/artikel/557/samtala-i-kontrollprocessen"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ntrollwiki.livsmedelsverket.se/artikel/595/nationella-kontrollplanen" TargetMode="External"/><Relationship Id="rId20" Type="http://schemas.openxmlformats.org/officeDocument/2006/relationships/hyperlink" Target="https://kontrollwiki.livsmedelsverket.se/artikel/102/kontroll-med-fokus-pa-halsorisker" TargetMode="External"/><Relationship Id="rId29" Type="http://schemas.openxmlformats.org/officeDocument/2006/relationships/hyperlink" Target="https://kontrollwiki.livsmedelsverket.se/artikel/623/kontrollra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europa.eu/eli/reg/2017/625/swe/html" TargetMode="External"/><Relationship Id="rId24" Type="http://schemas.openxmlformats.org/officeDocument/2006/relationships/hyperlink" Target="https://kontrollwiki.livsmedelsverket.se/artikel/171/provtagning-och-analys-i-offentlig-kontrol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hyperlink" Target="https://kontrollwiki.livsmedelsverket.se/artikel/101/metoder-och-tekniker-for-att-utfora-offentlig-livsmedelskontroll" TargetMode="External"/><Relationship Id="rId28" Type="http://schemas.openxmlformats.org/officeDocument/2006/relationships/hyperlink" Target="https://kontrollwiki.livsmedelsverket.se/artikel/623/kontrollrappor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kontrollwiki.livsmedelsverket.se/artikel/81/prioritering-vid-kontroll-av-information-och-markning" TargetMode="External"/><Relationship Id="rId31" Type="http://schemas.openxmlformats.org/officeDocument/2006/relationships/hyperlink" Target="https://kontrollwiki.livsmedelsverket.se/artikel/301/atgarder-vid-bristande-efterlevn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kontrollwiki.livsmedelsverket.se/artikel/190/forbereda-och-genomfora-provtagning" TargetMode="External"/><Relationship Id="rId27" Type="http://schemas.openxmlformats.org/officeDocument/2006/relationships/hyperlink" Target="https://kontrollwiki.livsmedelsverket.se/artikel/623/kontrollrapport" TargetMode="External"/><Relationship Id="rId30" Type="http://schemas.openxmlformats.org/officeDocument/2006/relationships/hyperlink" Target="https://kontrollwiki.livsmedelsverket.se/artikel/302/administrativa-myndighetsatgarder"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18" ma:contentTypeDescription="Skapa ett nytt dokument." ma:contentTypeScope="" ma:versionID="232f8f7729864953e81d9d6bf9b75d9d">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6f9e753c7db758548c465f7fc5605773"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b575697e-0026-4b78-bfc4-d1a622f7a7db}" ma:internalName="TaxCatchAll" ma:showField="CatchAllData" ma:web="4f561c0d-8107-4476-b074-e2d973ad0d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871930f-9648-4168-96fa-7eaea2392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561c0d-8107-4476-b074-e2d973ad0d31" xsi:nil="true"/>
    <lcf76f155ced4ddcb4097134ff3c332f xmlns="f1b6af86-c0d7-45a3-8c5b-41bdb4d299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F955F-499B-40AE-AF2F-08B944E25EE2}">
  <ds:schemaRefs>
    <ds:schemaRef ds:uri="http://schemas.openxmlformats.org/officeDocument/2006/bibliography"/>
  </ds:schemaRefs>
</ds:datastoreItem>
</file>

<file path=customXml/itemProps2.xml><?xml version="1.0" encoding="utf-8"?>
<ds:datastoreItem xmlns:ds="http://schemas.openxmlformats.org/officeDocument/2006/customXml" ds:itemID="{968FDEA2-71CB-483D-A3F3-DB98F08C6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61c0d-8107-4476-b074-e2d973ad0d31"/>
    <ds:schemaRef ds:uri="f1b6af86-c0d7-45a3-8c5b-41bdb4d29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69803-8D4E-4183-AC3E-91DD2E93E5FC}">
  <ds:schemaRefs>
    <ds:schemaRef ds:uri="http://schemas.microsoft.com/office/2006/metadata/properties"/>
    <ds:schemaRef ds:uri="http://schemas.microsoft.com/office/infopath/2007/PartnerControls"/>
    <ds:schemaRef ds:uri="4f561c0d-8107-4476-b074-e2d973ad0d31"/>
    <ds:schemaRef ds:uri="f1b6af86-c0d7-45a3-8c5b-41bdb4d299ee"/>
  </ds:schemaRefs>
</ds:datastoreItem>
</file>

<file path=customXml/itemProps4.xml><?xml version="1.0" encoding="utf-8"?>
<ds:datastoreItem xmlns:ds="http://schemas.openxmlformats.org/officeDocument/2006/customXml" ds:itemID="{D34E3B5D-1A93-4E6F-9E8D-5C2B90FDB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16601</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Livsmedelsverket</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Kallberg</dc:creator>
  <cp:keywords/>
  <dc:description/>
  <cp:lastModifiedBy>Cecilia Anneling</cp:lastModifiedBy>
  <cp:revision>2</cp:revision>
  <dcterms:created xsi:type="dcterms:W3CDTF">2026-07-03T06:22:00Z</dcterms:created>
  <dcterms:modified xsi:type="dcterms:W3CDTF">2026-07-03T06:22:00Z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